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EBCDB">
      <w:pPr>
        <w:pStyle w:val="40"/>
        <w:tabs>
          <w:tab w:val="right" w:pos="9639"/>
        </w:tabs>
        <w:spacing w:after="0"/>
        <w:rPr>
          <w:rFonts w:eastAsiaTheme="minorEastAsia"/>
          <w:b/>
          <w:i/>
          <w:sz w:val="28"/>
          <w:lang w:val="en-US" w:eastAsia="zh-CN"/>
        </w:rPr>
      </w:pPr>
      <w:bookmarkStart w:id="22" w:name="_GoBack"/>
      <w:r>
        <w:rPr>
          <w:b/>
          <w:sz w:val="24"/>
        </w:rPr>
        <w:t>3GPP TSG-SA WG4 Meeting #13</w:t>
      </w:r>
      <w:r>
        <w:rPr>
          <w:rFonts w:eastAsiaTheme="minorEastAsia"/>
          <w:b/>
          <w:sz w:val="24"/>
          <w:lang w:eastAsia="zh-CN"/>
        </w:rPr>
        <w:t>5</w:t>
      </w:r>
      <w:r>
        <w:rPr>
          <w:b/>
          <w:i/>
          <w:sz w:val="28"/>
        </w:rPr>
        <w:tab/>
      </w:r>
      <w:r>
        <w:rPr>
          <w:rFonts w:hint="eastAsia"/>
          <w:b/>
          <w:i/>
          <w:sz w:val="28"/>
        </w:rPr>
        <w:t>S4-260138</w:t>
      </w:r>
    </w:p>
    <w:p w14:paraId="591EBCDC">
      <w:pPr>
        <w:pStyle w:val="40"/>
        <w:outlineLvl w:val="0"/>
        <w:rPr>
          <w:rFonts w:eastAsia="宋体"/>
          <w:b/>
          <w:sz w:val="24"/>
          <w:lang w:val="en-US" w:eastAsia="zh-CN"/>
        </w:rPr>
      </w:pPr>
      <w:r>
        <w:rPr>
          <w:rFonts w:eastAsiaTheme="minorEastAsia"/>
          <w:b/>
          <w:sz w:val="24"/>
          <w:lang w:val="en-US" w:eastAsia="zh-CN"/>
        </w:rPr>
        <w:t>Goa</w:t>
      </w:r>
      <w:r>
        <w:rPr>
          <w:b/>
          <w:sz w:val="24"/>
          <w:lang w:val="en-US"/>
        </w:rPr>
        <w:t xml:space="preserve">, </w:t>
      </w:r>
      <w:r>
        <w:rPr>
          <w:rFonts w:eastAsiaTheme="minorEastAsia"/>
          <w:b/>
          <w:sz w:val="24"/>
          <w:lang w:val="en-US" w:eastAsia="zh-CN"/>
        </w:rPr>
        <w:t>India</w:t>
      </w:r>
      <w:r>
        <w:rPr>
          <w:b/>
          <w:sz w:val="24"/>
          <w:lang w:val="en-US"/>
        </w:rPr>
        <w:t>,</w:t>
      </w:r>
      <w:r>
        <w:rPr>
          <w:rFonts w:hint="eastAsia" w:eastAsia="宋体"/>
          <w:b/>
          <w:sz w:val="24"/>
          <w:lang w:val="en-US" w:eastAsia="zh-CN"/>
        </w:rPr>
        <w:t xml:space="preserve"> 09-13</w:t>
      </w:r>
      <w:r>
        <w:rPr>
          <w:b/>
          <w:sz w:val="24"/>
          <w:lang w:val="en-US"/>
        </w:rPr>
        <w:t xml:space="preserve"> </w:t>
      </w:r>
      <w:r>
        <w:rPr>
          <w:rFonts w:eastAsiaTheme="minorEastAsia"/>
          <w:b/>
          <w:sz w:val="24"/>
          <w:lang w:val="en-US" w:eastAsia="zh-CN"/>
        </w:rPr>
        <w:t>February</w:t>
      </w:r>
      <w:r>
        <w:rPr>
          <w:b/>
          <w:sz w:val="24"/>
          <w:lang w:val="en-US"/>
        </w:rPr>
        <w:t xml:space="preserve"> 2026</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eastAsia" w:eastAsia="宋体"/>
          <w:b/>
          <w:sz w:val="24"/>
          <w:lang w:val="en-US" w:eastAsia="zh-CN"/>
        </w:rPr>
        <w:tab/>
      </w:r>
      <w:r>
        <w:rPr>
          <w:rFonts w:hint="eastAsia" w:eastAsia="宋体"/>
          <w:b/>
          <w:sz w:val="24"/>
          <w:lang w:val="en-US" w:eastAsia="zh-CN"/>
        </w:rPr>
        <w:tab/>
        <w:t xml:space="preserve">   Revision of </w:t>
      </w:r>
      <w:r>
        <w:rPr>
          <w:rFonts w:hint="eastAsia" w:eastAsiaTheme="minorEastAsia"/>
          <w:b/>
          <w:sz w:val="24"/>
          <w:lang w:eastAsia="zh-CN"/>
        </w:rPr>
        <w:t>S4-25</w:t>
      </w:r>
      <w:r>
        <w:rPr>
          <w:rFonts w:eastAsiaTheme="minorEastAsia"/>
          <w:b/>
          <w:sz w:val="24"/>
          <w:lang w:eastAsia="zh-CN"/>
        </w:rPr>
        <w:t>2120</w:t>
      </w:r>
    </w:p>
    <w:p w14:paraId="591EBCDD">
      <w:pPr>
        <w:pBdr>
          <w:bottom w:val="single" w:color="auto" w:sz="4" w:space="1"/>
        </w:pBdr>
        <w:tabs>
          <w:tab w:val="right" w:pos="9639"/>
        </w:tabs>
        <w:jc w:val="both"/>
        <w:outlineLvl w:val="0"/>
        <w:rPr>
          <w:rFonts w:ascii="Arial" w:hAnsi="Arial" w:eastAsia="Batang" w:cs="Arial"/>
          <w:b/>
          <w:sz w:val="24"/>
          <w:lang w:val="en-US" w:eastAsia="zh-CN"/>
        </w:rPr>
      </w:pPr>
    </w:p>
    <w:p w14:paraId="591EBCDE">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r>
        <w:rPr>
          <w:rFonts w:ascii="Arial" w:hAnsi="Arial" w:eastAsia="Batang" w:cs="Arial"/>
          <w:b/>
          <w:bCs/>
          <w:sz w:val="24"/>
          <w:szCs w:val="24"/>
          <w:lang w:eastAsia="zh-CN"/>
        </w:rPr>
        <w:t>China Mobile Com. Corporation</w:t>
      </w:r>
      <w:r>
        <w:rPr>
          <w:rFonts w:hint="eastAsia" w:ascii="Arial" w:hAnsi="Arial" w:eastAsia="Batang" w:cs="Arial"/>
          <w:b/>
          <w:bCs/>
          <w:sz w:val="24"/>
          <w:szCs w:val="24"/>
          <w:lang w:val="en-US" w:eastAsia="zh-CN"/>
        </w:rPr>
        <w:t xml:space="preserve">, InterDigital </w:t>
      </w:r>
      <w:r>
        <w:rPr>
          <w:rFonts w:ascii="Arial" w:hAnsi="Arial" w:eastAsia="Batang" w:cs="Arial"/>
          <w:b/>
          <w:bCs/>
          <w:sz w:val="24"/>
          <w:szCs w:val="24"/>
          <w:lang w:val="en-US" w:eastAsia="zh-CN"/>
        </w:rPr>
        <w:t>Communication</w:t>
      </w:r>
      <w:r>
        <w:rPr>
          <w:rFonts w:hint="eastAsia" w:ascii="Arial" w:hAnsi="Arial" w:eastAsia="Batang" w:cs="Arial"/>
          <w:b/>
          <w:bCs/>
          <w:sz w:val="24"/>
          <w:szCs w:val="24"/>
          <w:lang w:val="en-US" w:eastAsia="zh-CN"/>
        </w:rPr>
        <w:t xml:space="preserve">, Pengcheng Laboratory, LG Electronics </w:t>
      </w:r>
      <w:r>
        <w:rPr>
          <w:rFonts w:hint="eastAsia" w:ascii="Arial" w:hAnsi="Arial" w:cs="Arial" w:eastAsiaTheme="minorEastAsia"/>
          <w:b/>
          <w:bCs/>
          <w:sz w:val="24"/>
          <w:szCs w:val="24"/>
          <w:lang w:val="en-US" w:eastAsia="zh-CN"/>
        </w:rPr>
        <w:t>Inc</w:t>
      </w:r>
      <w:r>
        <w:rPr>
          <w:rFonts w:hint="eastAsia" w:ascii="Arial" w:hAnsi="Arial" w:eastAsia="Batang" w:cs="Arial"/>
          <w:b/>
          <w:bCs/>
          <w:sz w:val="24"/>
          <w:szCs w:val="24"/>
          <w:lang w:val="en-US" w:eastAsia="zh-CN"/>
        </w:rPr>
        <w:t>, CATT, Deutsche Telekom, ZTE, Nokia, Samsung, KDDI</w:t>
      </w:r>
      <w:r>
        <w:rPr>
          <w:rFonts w:ascii="Arial" w:hAnsi="Arial" w:eastAsia="Batang" w:cs="Arial"/>
          <w:b/>
          <w:bCs/>
          <w:sz w:val="24"/>
          <w:szCs w:val="24"/>
          <w:lang w:val="en-US" w:eastAsia="zh-CN"/>
        </w:rPr>
        <w:t>, Sony Group Corporation</w:t>
      </w:r>
    </w:p>
    <w:p w14:paraId="591EBCDF">
      <w:pPr>
        <w:tabs>
          <w:tab w:val="left" w:pos="2127"/>
        </w:tabs>
        <w:ind w:left="2127" w:hanging="2127"/>
        <w:outlineLvl w:val="0"/>
        <w:rPr>
          <w:rFonts w:ascii="Arial" w:hAnsi="Arial" w:cs="Arial" w:eastAsiaTheme="minorEastAsia"/>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New </w:t>
      </w:r>
      <w:r>
        <w:rPr>
          <w:rFonts w:ascii="Arial" w:hAnsi="Arial" w:eastAsia="Batang" w:cs="Arial"/>
          <w:b/>
          <w:sz w:val="24"/>
          <w:szCs w:val="24"/>
          <w:lang w:eastAsia="zh-CN"/>
        </w:rPr>
        <w:t xml:space="preserve">SID on </w:t>
      </w:r>
      <w:r>
        <w:rPr>
          <w:rFonts w:hint="eastAsia" w:ascii="Arial" w:hAnsi="Arial" w:eastAsia="Batang" w:cs="Arial"/>
          <w:b/>
          <w:sz w:val="24"/>
          <w:szCs w:val="24"/>
          <w:lang w:val="en-US" w:eastAsia="zh-CN"/>
        </w:rPr>
        <w:t>Dynamic Mesh</w:t>
      </w:r>
      <w:r>
        <w:rPr>
          <w:rFonts w:ascii="Arial" w:hAnsi="Arial" w:eastAsia="Batang" w:cs="Arial"/>
          <w:b/>
          <w:sz w:val="24"/>
          <w:szCs w:val="24"/>
          <w:lang w:val="en-US" w:eastAsia="zh-CN"/>
        </w:rPr>
        <w:t xml:space="preserve"> for mobile</w:t>
      </w:r>
    </w:p>
    <w:p w14:paraId="591EBCE0">
      <w:pPr>
        <w:tabs>
          <w:tab w:val="left" w:pos="2127"/>
        </w:tabs>
        <w:ind w:left="2127" w:hanging="2127"/>
        <w:jc w:val="both"/>
        <w:outlineLvl w:val="0"/>
        <w:rPr>
          <w:rFonts w:ascii="Arial" w:hAnsi="Arial" w:eastAsiaTheme="minorEastAsia"/>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Theme="minorEastAsia"/>
          <w:b/>
          <w:sz w:val="24"/>
          <w:szCs w:val="24"/>
          <w:lang w:val="en-US" w:eastAsia="zh-CN"/>
        </w:rPr>
        <w:t>Agreement</w:t>
      </w:r>
    </w:p>
    <w:p w14:paraId="591EBCE1">
      <w:pPr>
        <w:tabs>
          <w:tab w:val="left" w:pos="2127"/>
        </w:tabs>
        <w:ind w:left="2127" w:hanging="2127"/>
        <w:jc w:val="both"/>
        <w:outlineLvl w:val="0"/>
        <w:rPr>
          <w:rFonts w:ascii="Arial" w:hAnsi="Arial" w:eastAsiaTheme="minorEastAsia"/>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Theme="minorEastAsia"/>
          <w:b/>
          <w:sz w:val="24"/>
          <w:szCs w:val="24"/>
          <w:lang w:val="en-US" w:eastAsia="zh-CN"/>
        </w:rPr>
        <w:t>18.1</w:t>
      </w:r>
    </w:p>
    <w:p w14:paraId="591EBCE2">
      <w:pPr>
        <w:rPr>
          <w:rFonts w:eastAsia="Batang"/>
          <w:lang w:val="en-US" w:eastAsia="zh-CN"/>
        </w:rPr>
      </w:pPr>
    </w:p>
    <w:p w14:paraId="591EBCE3">
      <w:pPr>
        <w:pStyle w:val="9"/>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91EBCE4">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591EBCE5">
      <w:pPr>
        <w:pStyle w:val="9"/>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Study on </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Dynamic Mesh for mobile</w:t>
      </w:r>
    </w:p>
    <w:p w14:paraId="591EBCE6">
      <w:pPr>
        <w:pStyle w:val="23"/>
      </w:pPr>
    </w:p>
    <w:p w14:paraId="591EBCE7">
      <w:pPr>
        <w:pStyle w:val="9"/>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Acronym: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FS_DMesh_MED</w:t>
      </w:r>
    </w:p>
    <w:p w14:paraId="591EBCE8">
      <w:pPr>
        <w:pStyle w:val="23"/>
        <w:rPr>
          <w:lang w:val="en-US"/>
        </w:rPr>
      </w:pPr>
    </w:p>
    <w:p w14:paraId="591EBCE9">
      <w:pPr>
        <w:pStyle w:val="9"/>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hint="eastAsia" w:ascii="Arial" w:hAnsi="Arial" w:cs="Times New Roman" w:eastAsiaTheme="minorEastAsia"/>
          <w:color w:val="000000"/>
          <w:sz w:val="36"/>
          <w:szCs w:val="20"/>
          <w:lang w:val="en-US" w:eastAsia="zh-CN"/>
          <w14:textFill>
            <w14:solidFill>
              <w14:srgbClr w14:val="000000">
                <w14:lumMod w14:val="85000"/>
                <w14:lumOff w14:val="15000"/>
              </w14:srgbClr>
            </w14:solidFill>
          </w14:textFill>
        </w:rPr>
        <w:t>XXXXXX</w:t>
      </w:r>
    </w:p>
    <w:p w14:paraId="591EBCEA">
      <w:pPr>
        <w:pStyle w:val="23"/>
        <w:rPr>
          <w:lang w:val="en-US"/>
        </w:rPr>
      </w:pPr>
    </w:p>
    <w:p w14:paraId="591EBCEB">
      <w:pPr>
        <w:pStyle w:val="9"/>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20</w:t>
      </w:r>
    </w:p>
    <w:p w14:paraId="591EBCEC">
      <w:pPr>
        <w:pStyle w:val="23"/>
      </w:pPr>
    </w:p>
    <w:p w14:paraId="591EBCE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591EBCEE">
      <w:pPr>
        <w:pStyle w:val="23"/>
        <w:rPr>
          <w:highlight w:val="yellow"/>
        </w:rPr>
      </w:pP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91EBC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91EBCEF">
            <w:pPr>
              <w:pStyle w:val="24"/>
            </w:pPr>
            <w:r>
              <w:t>Affects:</w:t>
            </w:r>
          </w:p>
        </w:tc>
        <w:tc>
          <w:tcPr>
            <w:tcW w:w="1275" w:type="dxa"/>
            <w:tcBorders>
              <w:left w:val="nil"/>
              <w:bottom w:val="single" w:color="auto" w:sz="12" w:space="0"/>
            </w:tcBorders>
            <w:shd w:val="clear" w:color="auto" w:fill="E0E0E0"/>
          </w:tcPr>
          <w:p w14:paraId="591EBCF0">
            <w:pPr>
              <w:pStyle w:val="24"/>
              <w:rPr>
                <w:rFonts w:eastAsia="宋体"/>
                <w:lang w:val="en-US" w:eastAsia="zh-CN"/>
              </w:rPr>
            </w:pPr>
            <w:r>
              <w:t>UICC apps</w:t>
            </w:r>
          </w:p>
        </w:tc>
        <w:tc>
          <w:tcPr>
            <w:tcW w:w="1037" w:type="dxa"/>
            <w:tcBorders>
              <w:bottom w:val="single" w:color="auto" w:sz="12" w:space="0"/>
            </w:tcBorders>
            <w:shd w:val="clear" w:color="auto" w:fill="E0E0E0"/>
          </w:tcPr>
          <w:p w14:paraId="591EBCF1">
            <w:pPr>
              <w:pStyle w:val="24"/>
              <w:rPr>
                <w:rFonts w:eastAsia="宋体"/>
                <w:lang w:val="en-US" w:eastAsia="zh-CN"/>
              </w:rPr>
            </w:pPr>
            <w:r>
              <w:t>ME</w:t>
            </w:r>
          </w:p>
        </w:tc>
        <w:tc>
          <w:tcPr>
            <w:tcW w:w="850" w:type="dxa"/>
            <w:tcBorders>
              <w:bottom w:val="single" w:color="auto" w:sz="12" w:space="0"/>
            </w:tcBorders>
            <w:shd w:val="clear" w:color="auto" w:fill="E0E0E0"/>
          </w:tcPr>
          <w:p w14:paraId="591EBCF2">
            <w:pPr>
              <w:pStyle w:val="24"/>
              <w:rPr>
                <w:rFonts w:eastAsia="宋体"/>
                <w:lang w:val="en-US" w:eastAsia="zh-CN"/>
              </w:rPr>
            </w:pPr>
            <w:r>
              <w:t>AN</w:t>
            </w:r>
          </w:p>
        </w:tc>
        <w:tc>
          <w:tcPr>
            <w:tcW w:w="851" w:type="dxa"/>
            <w:tcBorders>
              <w:bottom w:val="single" w:color="auto" w:sz="12" w:space="0"/>
            </w:tcBorders>
            <w:shd w:val="clear" w:color="auto" w:fill="E0E0E0"/>
          </w:tcPr>
          <w:p w14:paraId="591EBCF3">
            <w:pPr>
              <w:pStyle w:val="24"/>
              <w:rPr>
                <w:rFonts w:eastAsia="宋体"/>
                <w:lang w:val="en-US" w:eastAsia="zh-CN"/>
              </w:rPr>
            </w:pPr>
            <w:r>
              <w:t>CN</w:t>
            </w:r>
          </w:p>
        </w:tc>
        <w:tc>
          <w:tcPr>
            <w:tcW w:w="1752" w:type="dxa"/>
            <w:tcBorders>
              <w:bottom w:val="single" w:color="auto" w:sz="12" w:space="0"/>
            </w:tcBorders>
            <w:shd w:val="clear" w:color="auto" w:fill="E0E0E0"/>
          </w:tcPr>
          <w:p w14:paraId="591EBCF4">
            <w:pPr>
              <w:pStyle w:val="24"/>
            </w:pPr>
            <w:r>
              <w:t>Others (specify)</w:t>
            </w:r>
          </w:p>
        </w:tc>
      </w:tr>
      <w:tr w14:paraId="591EBC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591EBCF6">
            <w:pPr>
              <w:pStyle w:val="24"/>
            </w:pPr>
            <w:r>
              <w:t>Yes</w:t>
            </w:r>
          </w:p>
        </w:tc>
        <w:tc>
          <w:tcPr>
            <w:tcW w:w="1275" w:type="dxa"/>
            <w:tcBorders>
              <w:top w:val="nil"/>
              <w:left w:val="nil"/>
            </w:tcBorders>
          </w:tcPr>
          <w:p w14:paraId="591EBCF7">
            <w:pPr>
              <w:pStyle w:val="25"/>
            </w:pPr>
          </w:p>
        </w:tc>
        <w:tc>
          <w:tcPr>
            <w:tcW w:w="1037" w:type="dxa"/>
            <w:tcBorders>
              <w:top w:val="nil"/>
            </w:tcBorders>
          </w:tcPr>
          <w:p w14:paraId="591EBCF8">
            <w:pPr>
              <w:pStyle w:val="25"/>
            </w:pPr>
            <w:r>
              <w:t>X</w:t>
            </w:r>
          </w:p>
        </w:tc>
        <w:tc>
          <w:tcPr>
            <w:tcW w:w="850" w:type="dxa"/>
            <w:tcBorders>
              <w:top w:val="nil"/>
            </w:tcBorders>
          </w:tcPr>
          <w:p w14:paraId="591EBCF9">
            <w:pPr>
              <w:pStyle w:val="25"/>
            </w:pPr>
          </w:p>
        </w:tc>
        <w:tc>
          <w:tcPr>
            <w:tcW w:w="851" w:type="dxa"/>
            <w:tcBorders>
              <w:top w:val="nil"/>
            </w:tcBorders>
          </w:tcPr>
          <w:p w14:paraId="591EBCFA">
            <w:pPr>
              <w:pStyle w:val="25"/>
            </w:pPr>
            <w:r>
              <w:t>X</w:t>
            </w:r>
          </w:p>
        </w:tc>
        <w:tc>
          <w:tcPr>
            <w:tcW w:w="1752" w:type="dxa"/>
            <w:tcBorders>
              <w:top w:val="nil"/>
            </w:tcBorders>
          </w:tcPr>
          <w:p w14:paraId="591EBCFB">
            <w:pPr>
              <w:pStyle w:val="25"/>
            </w:pPr>
          </w:p>
        </w:tc>
      </w:tr>
      <w:tr w14:paraId="591EBD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591EBCFD">
            <w:pPr>
              <w:pStyle w:val="24"/>
            </w:pPr>
            <w:r>
              <w:t>No</w:t>
            </w:r>
          </w:p>
        </w:tc>
        <w:tc>
          <w:tcPr>
            <w:tcW w:w="1275" w:type="dxa"/>
            <w:tcBorders>
              <w:left w:val="nil"/>
            </w:tcBorders>
          </w:tcPr>
          <w:p w14:paraId="591EBCFE">
            <w:pPr>
              <w:pStyle w:val="25"/>
            </w:pPr>
            <w:r>
              <w:t>X</w:t>
            </w:r>
          </w:p>
        </w:tc>
        <w:tc>
          <w:tcPr>
            <w:tcW w:w="1037" w:type="dxa"/>
          </w:tcPr>
          <w:p w14:paraId="591EBCFF">
            <w:pPr>
              <w:pStyle w:val="25"/>
            </w:pPr>
          </w:p>
        </w:tc>
        <w:tc>
          <w:tcPr>
            <w:tcW w:w="850" w:type="dxa"/>
          </w:tcPr>
          <w:p w14:paraId="591EBD00">
            <w:pPr>
              <w:pStyle w:val="25"/>
            </w:pPr>
            <w:r>
              <w:t>X</w:t>
            </w:r>
          </w:p>
        </w:tc>
        <w:tc>
          <w:tcPr>
            <w:tcW w:w="851" w:type="dxa"/>
          </w:tcPr>
          <w:p w14:paraId="591EBD01">
            <w:pPr>
              <w:pStyle w:val="25"/>
            </w:pPr>
          </w:p>
        </w:tc>
        <w:tc>
          <w:tcPr>
            <w:tcW w:w="1752" w:type="dxa"/>
          </w:tcPr>
          <w:p w14:paraId="591EBD02">
            <w:pPr>
              <w:pStyle w:val="25"/>
            </w:pPr>
            <w:r>
              <w:t>X</w:t>
            </w:r>
          </w:p>
        </w:tc>
      </w:tr>
      <w:tr w14:paraId="591EBD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591EBD04">
            <w:pPr>
              <w:pStyle w:val="24"/>
            </w:pPr>
            <w:r>
              <w:t>Don't know</w:t>
            </w:r>
          </w:p>
        </w:tc>
        <w:tc>
          <w:tcPr>
            <w:tcW w:w="1275" w:type="dxa"/>
            <w:tcBorders>
              <w:left w:val="nil"/>
            </w:tcBorders>
          </w:tcPr>
          <w:p w14:paraId="591EBD05">
            <w:pPr>
              <w:pStyle w:val="25"/>
            </w:pPr>
          </w:p>
        </w:tc>
        <w:tc>
          <w:tcPr>
            <w:tcW w:w="1037" w:type="dxa"/>
          </w:tcPr>
          <w:p w14:paraId="591EBD06">
            <w:pPr>
              <w:pStyle w:val="25"/>
            </w:pPr>
          </w:p>
        </w:tc>
        <w:tc>
          <w:tcPr>
            <w:tcW w:w="850" w:type="dxa"/>
          </w:tcPr>
          <w:p w14:paraId="591EBD07">
            <w:pPr>
              <w:pStyle w:val="25"/>
            </w:pPr>
          </w:p>
        </w:tc>
        <w:tc>
          <w:tcPr>
            <w:tcW w:w="851" w:type="dxa"/>
          </w:tcPr>
          <w:p w14:paraId="591EBD08">
            <w:pPr>
              <w:pStyle w:val="25"/>
            </w:pPr>
          </w:p>
        </w:tc>
        <w:tc>
          <w:tcPr>
            <w:tcW w:w="1752" w:type="dxa"/>
          </w:tcPr>
          <w:p w14:paraId="591EBD09">
            <w:pPr>
              <w:pStyle w:val="25"/>
            </w:pPr>
          </w:p>
        </w:tc>
      </w:tr>
    </w:tbl>
    <w:p w14:paraId="591EBD0B"/>
    <w:p w14:paraId="591EBD0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91EBD0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591EBD0E">
      <w:pPr>
        <w:pStyle w:val="4"/>
      </w:pPr>
      <w:r>
        <w:t>This work item is a …</w:t>
      </w:r>
    </w:p>
    <w:p w14:paraId="591EBD0F">
      <w:pPr>
        <w:pStyle w:val="23"/>
      </w:pPr>
    </w:p>
    <w:p w14:paraId="591EBD10">
      <w:pPr>
        <w:pStyle w:val="23"/>
      </w:pP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91EBD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91EBD11">
            <w:pPr>
              <w:pStyle w:val="25"/>
            </w:pPr>
            <w:r>
              <w:t>X</w:t>
            </w:r>
          </w:p>
        </w:tc>
        <w:tc>
          <w:tcPr>
            <w:tcW w:w="2917" w:type="dxa"/>
            <w:shd w:val="clear" w:color="auto" w:fill="E0E0E0"/>
          </w:tcPr>
          <w:p w14:paraId="591EBD12">
            <w:pPr>
              <w:pStyle w:val="24"/>
              <w:ind w:right="-99"/>
              <w:jc w:val="left"/>
              <w:rPr>
                <w:b w:val="0"/>
                <w:bCs/>
                <w:color w:val="0000FF"/>
              </w:rPr>
            </w:pPr>
            <w:r>
              <w:rPr>
                <w:b w:val="0"/>
                <w:bCs/>
                <w:color w:val="0000FF"/>
                <w:sz w:val="20"/>
              </w:rPr>
              <w:t xml:space="preserve">Study </w:t>
            </w:r>
          </w:p>
        </w:tc>
      </w:tr>
      <w:tr w14:paraId="591EBD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91EBD14">
            <w:pPr>
              <w:pStyle w:val="25"/>
            </w:pPr>
          </w:p>
        </w:tc>
        <w:tc>
          <w:tcPr>
            <w:tcW w:w="2917" w:type="dxa"/>
            <w:shd w:val="clear" w:color="auto" w:fill="E0E0E0"/>
          </w:tcPr>
          <w:p w14:paraId="591EBD15">
            <w:pPr>
              <w:pStyle w:val="24"/>
              <w:ind w:right="-99"/>
              <w:jc w:val="left"/>
              <w:rPr>
                <w:b w:val="0"/>
                <w:bCs/>
                <w:color w:val="auto"/>
              </w:rPr>
            </w:pPr>
            <w:r>
              <w:rPr>
                <w:b w:val="0"/>
                <w:bCs/>
                <w:color w:val="auto"/>
                <w:sz w:val="20"/>
              </w:rPr>
              <w:t>Normative – Stage 1</w:t>
            </w:r>
          </w:p>
        </w:tc>
      </w:tr>
      <w:tr w14:paraId="591EBD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91EBD17">
            <w:pPr>
              <w:pStyle w:val="25"/>
            </w:pPr>
          </w:p>
        </w:tc>
        <w:tc>
          <w:tcPr>
            <w:tcW w:w="2917" w:type="dxa"/>
            <w:shd w:val="clear" w:color="auto" w:fill="E0E0E0"/>
          </w:tcPr>
          <w:p w14:paraId="591EBD18">
            <w:pPr>
              <w:pStyle w:val="24"/>
              <w:ind w:right="-99"/>
              <w:jc w:val="left"/>
              <w:rPr>
                <w:b w:val="0"/>
                <w:bCs/>
                <w:color w:val="auto"/>
              </w:rPr>
            </w:pPr>
            <w:r>
              <w:rPr>
                <w:b w:val="0"/>
                <w:bCs/>
                <w:color w:val="auto"/>
                <w:sz w:val="20"/>
              </w:rPr>
              <w:t>Normative – Stage 2</w:t>
            </w:r>
          </w:p>
        </w:tc>
      </w:tr>
      <w:tr w14:paraId="591EBD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91EBD1A">
            <w:pPr>
              <w:pStyle w:val="25"/>
            </w:pPr>
          </w:p>
        </w:tc>
        <w:tc>
          <w:tcPr>
            <w:tcW w:w="2917" w:type="dxa"/>
            <w:shd w:val="clear" w:color="auto" w:fill="E0E0E0"/>
          </w:tcPr>
          <w:p w14:paraId="591EBD1B">
            <w:pPr>
              <w:pStyle w:val="24"/>
              <w:ind w:right="-99"/>
              <w:jc w:val="left"/>
              <w:rPr>
                <w:b w:val="0"/>
                <w:bCs/>
                <w:color w:val="auto"/>
              </w:rPr>
            </w:pPr>
            <w:r>
              <w:rPr>
                <w:b w:val="0"/>
                <w:bCs/>
                <w:color w:val="auto"/>
                <w:sz w:val="20"/>
              </w:rPr>
              <w:t>Normative – Stage 3</w:t>
            </w:r>
          </w:p>
        </w:tc>
      </w:tr>
      <w:tr w14:paraId="591EBD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91EBD1D">
            <w:pPr>
              <w:pStyle w:val="25"/>
            </w:pPr>
          </w:p>
        </w:tc>
        <w:tc>
          <w:tcPr>
            <w:tcW w:w="2917" w:type="dxa"/>
            <w:shd w:val="clear" w:color="auto" w:fill="E0E0E0"/>
          </w:tcPr>
          <w:p w14:paraId="591EBD1E">
            <w:pPr>
              <w:pStyle w:val="24"/>
              <w:ind w:right="-99"/>
              <w:jc w:val="left"/>
              <w:rPr>
                <w:b w:val="0"/>
                <w:bCs/>
                <w:color w:val="auto"/>
              </w:rPr>
            </w:pPr>
            <w:r>
              <w:rPr>
                <w:b w:val="0"/>
                <w:bCs/>
                <w:color w:val="auto"/>
                <w:sz w:val="20"/>
              </w:rPr>
              <w:t>Normative – Other*</w:t>
            </w:r>
          </w:p>
        </w:tc>
      </w:tr>
    </w:tbl>
    <w:p w14:paraId="591EBD20">
      <w:pPr>
        <w:ind w:right="-99"/>
        <w:rPr>
          <w:b/>
        </w:rPr>
      </w:pPr>
      <w:r>
        <w:rPr>
          <w:b/>
        </w:rPr>
        <w:t>* Other = e.g. testing</w:t>
      </w:r>
    </w:p>
    <w:p w14:paraId="591EBD21">
      <w:pPr>
        <w:ind w:right="-99"/>
        <w:rPr>
          <w:b/>
        </w:rPr>
      </w:pPr>
    </w:p>
    <w:p w14:paraId="591EBD22">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p w14:paraId="591EBD23"/>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9"/>
        <w:gridCol w:w="953"/>
        <w:gridCol w:w="1101"/>
        <w:gridCol w:w="6010"/>
      </w:tblGrid>
      <w:tr w14:paraId="591EBD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591EBD24">
            <w:pPr>
              <w:pStyle w:val="24"/>
              <w:ind w:right="-99"/>
              <w:jc w:val="left"/>
            </w:pPr>
            <w:r>
              <w:t xml:space="preserve">Parent Work / Study Items </w:t>
            </w:r>
          </w:p>
        </w:tc>
      </w:tr>
      <w:tr w14:paraId="591EBD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shd w:val="clear" w:color="auto" w:fill="E0E0E0"/>
          </w:tcPr>
          <w:p w14:paraId="591EBD26">
            <w:pPr>
              <w:pStyle w:val="24"/>
              <w:ind w:right="-99"/>
              <w:jc w:val="left"/>
            </w:pPr>
            <w:r>
              <w:t>Acronym</w:t>
            </w:r>
          </w:p>
        </w:tc>
        <w:tc>
          <w:tcPr>
            <w:tcW w:w="953" w:type="dxa"/>
            <w:shd w:val="clear" w:color="auto" w:fill="E0E0E0"/>
          </w:tcPr>
          <w:p w14:paraId="591EBD27">
            <w:pPr>
              <w:pStyle w:val="24"/>
              <w:ind w:right="-99"/>
              <w:jc w:val="left"/>
            </w:pPr>
            <w:r>
              <w:t>Working Group</w:t>
            </w:r>
          </w:p>
        </w:tc>
        <w:tc>
          <w:tcPr>
            <w:tcW w:w="1101" w:type="dxa"/>
            <w:shd w:val="clear" w:color="auto" w:fill="E0E0E0"/>
          </w:tcPr>
          <w:p w14:paraId="591EBD28">
            <w:pPr>
              <w:pStyle w:val="24"/>
              <w:ind w:right="-99"/>
              <w:jc w:val="left"/>
            </w:pPr>
            <w:r>
              <w:t>Unique ID</w:t>
            </w:r>
          </w:p>
        </w:tc>
        <w:tc>
          <w:tcPr>
            <w:tcW w:w="6010" w:type="dxa"/>
            <w:shd w:val="clear" w:color="auto" w:fill="E0E0E0"/>
          </w:tcPr>
          <w:p w14:paraId="591EBD29">
            <w:pPr>
              <w:pStyle w:val="24"/>
              <w:ind w:right="-99"/>
              <w:jc w:val="left"/>
            </w:pPr>
            <w:r>
              <w:t>Title (as in 3GPP Work Plan)</w:t>
            </w:r>
          </w:p>
        </w:tc>
      </w:tr>
      <w:tr w14:paraId="591EBD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tcPr>
          <w:p w14:paraId="591EBD2B">
            <w:pPr>
              <w:pStyle w:val="23"/>
              <w:rPr>
                <w:rFonts w:eastAsiaTheme="minorEastAsia"/>
                <w:i w:val="0"/>
                <w:iCs/>
                <w:lang w:val="en-US" w:eastAsia="zh-CN"/>
              </w:rPr>
            </w:pPr>
            <w:r>
              <w:rPr>
                <w:rFonts w:hint="eastAsia" w:eastAsiaTheme="minorEastAsia"/>
                <w:i w:val="0"/>
                <w:iCs/>
                <w:lang w:eastAsia="zh-CN"/>
              </w:rPr>
              <w:t>FS_Beyond2D</w:t>
            </w:r>
          </w:p>
        </w:tc>
        <w:tc>
          <w:tcPr>
            <w:tcW w:w="953" w:type="dxa"/>
          </w:tcPr>
          <w:p w14:paraId="591EBD2C">
            <w:pPr>
              <w:pStyle w:val="23"/>
              <w:rPr>
                <w:rFonts w:eastAsiaTheme="minorEastAsia"/>
                <w:i w:val="0"/>
                <w:iCs/>
                <w:lang w:eastAsia="zh-CN"/>
              </w:rPr>
            </w:pPr>
            <w:r>
              <w:rPr>
                <w:rFonts w:hint="eastAsia" w:eastAsiaTheme="minorEastAsia"/>
                <w:i w:val="0"/>
                <w:iCs/>
                <w:lang w:eastAsia="zh-CN"/>
              </w:rPr>
              <w:t>SA4</w:t>
            </w:r>
          </w:p>
        </w:tc>
        <w:tc>
          <w:tcPr>
            <w:tcW w:w="1101" w:type="dxa"/>
          </w:tcPr>
          <w:p w14:paraId="591EBD2D">
            <w:pPr>
              <w:pStyle w:val="23"/>
              <w:rPr>
                <w:i w:val="0"/>
                <w:iCs/>
              </w:rPr>
            </w:pPr>
            <w:r>
              <w:rPr>
                <w:i w:val="0"/>
                <w:iCs/>
                <w:lang w:val="en-US"/>
              </w:rPr>
              <w:t>1030008</w:t>
            </w:r>
          </w:p>
        </w:tc>
        <w:tc>
          <w:tcPr>
            <w:tcW w:w="6010" w:type="dxa"/>
          </w:tcPr>
          <w:p w14:paraId="591EBD2E">
            <w:pPr>
              <w:pStyle w:val="23"/>
              <w:rPr>
                <w:i w:val="0"/>
                <w:iCs/>
              </w:rPr>
            </w:pPr>
            <w:r>
              <w:rPr>
                <w:i w:val="0"/>
                <w:iCs/>
              </w:rPr>
              <w:t>Evaluation and Characterization of Beyond 2D Video Formats and Codecs</w:t>
            </w:r>
          </w:p>
        </w:tc>
      </w:tr>
    </w:tbl>
    <w:p w14:paraId="591EBD30"/>
    <w:p w14:paraId="591EBD31">
      <w:pPr>
        <w:pStyle w:val="4"/>
        <w:keepLines/>
        <w:overflowPunct w:val="0"/>
        <w:autoSpaceDE w:val="0"/>
        <w:autoSpaceDN w:val="0"/>
        <w:adjustRightInd w:val="0"/>
        <w:spacing w:before="120" w:after="180"/>
        <w:ind w:left="1134" w:hanging="1134"/>
        <w:textAlignment w:val="baseline"/>
      </w:pPr>
      <w:r>
        <w:rPr>
          <w:sz w:val="28"/>
          <w:lang w:eastAsia="ja-JP"/>
        </w:rPr>
        <w:t>2.3</w:t>
      </w:r>
      <w:r>
        <w:rPr>
          <w:sz w:val="28"/>
          <w:lang w:eastAsia="ja-JP"/>
        </w:rPr>
        <w:tab/>
      </w:r>
      <w:r>
        <w:rPr>
          <w:sz w:val="28"/>
          <w:lang w:eastAsia="ja-JP"/>
        </w:rPr>
        <w:t>Other related Work Items and dependencies</w:t>
      </w: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591EBD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591EBD32">
            <w:pPr>
              <w:pStyle w:val="24"/>
            </w:pPr>
            <w:r>
              <w:t>Other related Work /Study Items (if any)</w:t>
            </w:r>
          </w:p>
        </w:tc>
      </w:tr>
      <w:tr w14:paraId="591EBD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591EBD34">
            <w:pPr>
              <w:pStyle w:val="24"/>
            </w:pPr>
            <w:r>
              <w:t>Unique ID</w:t>
            </w:r>
          </w:p>
        </w:tc>
        <w:tc>
          <w:tcPr>
            <w:tcW w:w="3326" w:type="dxa"/>
            <w:shd w:val="clear" w:color="auto" w:fill="E0E0E0"/>
          </w:tcPr>
          <w:p w14:paraId="591EBD35">
            <w:pPr>
              <w:pStyle w:val="24"/>
            </w:pPr>
            <w:r>
              <w:t>Title</w:t>
            </w:r>
          </w:p>
        </w:tc>
        <w:tc>
          <w:tcPr>
            <w:tcW w:w="5099" w:type="dxa"/>
            <w:shd w:val="clear" w:color="auto" w:fill="E0E0E0"/>
          </w:tcPr>
          <w:p w14:paraId="591EBD36">
            <w:pPr>
              <w:pStyle w:val="24"/>
            </w:pPr>
            <w:r>
              <w:t>Nature of relationship</w:t>
            </w:r>
          </w:p>
        </w:tc>
      </w:tr>
      <w:tr w14:paraId="591EBD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91EBD38">
            <w:pPr>
              <w:pStyle w:val="26"/>
              <w:rPr>
                <w:highlight w:val="yellow"/>
              </w:rPr>
            </w:pPr>
          </w:p>
        </w:tc>
        <w:tc>
          <w:tcPr>
            <w:tcW w:w="3326" w:type="dxa"/>
          </w:tcPr>
          <w:p w14:paraId="591EBD39">
            <w:pPr>
              <w:pStyle w:val="26"/>
            </w:pPr>
          </w:p>
        </w:tc>
        <w:tc>
          <w:tcPr>
            <w:tcW w:w="5099" w:type="dxa"/>
          </w:tcPr>
          <w:p w14:paraId="591EBD3A">
            <w:pPr>
              <w:pStyle w:val="23"/>
              <w:rPr>
                <w:i w:val="0"/>
                <w:iCs/>
              </w:rPr>
            </w:pPr>
          </w:p>
        </w:tc>
      </w:tr>
      <w:tr w14:paraId="591EBD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tcPr>
          <w:p w14:paraId="591EBD3C">
            <w:pPr>
              <w:pStyle w:val="26"/>
              <w:rPr>
                <w:highlight w:val="yellow"/>
              </w:rPr>
            </w:pPr>
          </w:p>
        </w:tc>
        <w:tc>
          <w:tcPr>
            <w:tcW w:w="3326" w:type="dxa"/>
          </w:tcPr>
          <w:p w14:paraId="591EBD3D">
            <w:pPr>
              <w:pStyle w:val="26"/>
            </w:pPr>
          </w:p>
        </w:tc>
        <w:tc>
          <w:tcPr>
            <w:tcW w:w="5099" w:type="dxa"/>
          </w:tcPr>
          <w:p w14:paraId="591EBD3E">
            <w:pPr>
              <w:pStyle w:val="23"/>
              <w:rPr>
                <w:rFonts w:eastAsia="宋体"/>
                <w:i w:val="0"/>
                <w:iCs/>
                <w:lang w:val="en-US" w:eastAsia="zh-CN"/>
              </w:rPr>
            </w:pPr>
          </w:p>
        </w:tc>
      </w:tr>
      <w:tr w14:paraId="591EBD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91EBD40">
            <w:pPr>
              <w:pStyle w:val="26"/>
              <w:rPr>
                <w:rFonts w:ascii="Segoe UI" w:hAnsi="Segoe UI" w:cs="Segoe UI"/>
                <w:b/>
                <w:bCs/>
                <w:color w:val="0000FF"/>
                <w:szCs w:val="18"/>
                <w:highlight w:val="yellow"/>
                <w:shd w:val="clear" w:color="auto" w:fill="FFFFFF"/>
              </w:rPr>
            </w:pPr>
          </w:p>
        </w:tc>
        <w:tc>
          <w:tcPr>
            <w:tcW w:w="3326" w:type="dxa"/>
          </w:tcPr>
          <w:p w14:paraId="591EBD41">
            <w:pPr>
              <w:pStyle w:val="26"/>
              <w:rPr>
                <w:rFonts w:ascii="Segoe UI" w:hAnsi="Segoe UI" w:cs="Segoe UI"/>
                <w:b/>
                <w:bCs/>
                <w:color w:val="0000FF"/>
                <w:szCs w:val="18"/>
                <w:shd w:val="clear" w:color="auto" w:fill="FFFFFF"/>
              </w:rPr>
            </w:pPr>
          </w:p>
        </w:tc>
        <w:tc>
          <w:tcPr>
            <w:tcW w:w="5099" w:type="dxa"/>
          </w:tcPr>
          <w:p w14:paraId="591EBD42">
            <w:pPr>
              <w:pStyle w:val="23"/>
              <w:rPr>
                <w:rFonts w:eastAsia="宋体"/>
                <w:i w:val="0"/>
                <w:iCs/>
                <w:lang w:val="en-US" w:eastAsia="zh-CN"/>
              </w:rPr>
            </w:pPr>
          </w:p>
        </w:tc>
      </w:tr>
      <w:tr w14:paraId="591EBD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91EBD44">
            <w:pPr>
              <w:pStyle w:val="26"/>
              <w:rPr>
                <w:rFonts w:ascii="Segoe UI" w:hAnsi="Segoe UI" w:cs="Segoe UI"/>
                <w:color w:val="333333"/>
                <w:szCs w:val="18"/>
                <w:highlight w:val="yellow"/>
                <w:shd w:val="clear" w:color="auto" w:fill="FFFFFF"/>
              </w:rPr>
            </w:pPr>
          </w:p>
        </w:tc>
        <w:tc>
          <w:tcPr>
            <w:tcW w:w="3326" w:type="dxa"/>
          </w:tcPr>
          <w:p w14:paraId="591EBD45">
            <w:pPr>
              <w:pStyle w:val="26"/>
            </w:pPr>
          </w:p>
        </w:tc>
        <w:tc>
          <w:tcPr>
            <w:tcW w:w="5099" w:type="dxa"/>
          </w:tcPr>
          <w:p w14:paraId="591EBD46">
            <w:pPr>
              <w:pStyle w:val="23"/>
              <w:rPr>
                <w:i w:val="0"/>
                <w:iCs/>
              </w:rPr>
            </w:pPr>
          </w:p>
        </w:tc>
      </w:tr>
    </w:tbl>
    <w:p w14:paraId="591EBD48">
      <w:pPr>
        <w:pStyle w:val="23"/>
      </w:pPr>
    </w:p>
    <w:p w14:paraId="591EBD4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591EBD4C">
      <w:bookmarkStart w:id="0" w:name="OLE_LINK3"/>
      <w:bookmarkStart w:id="1" w:name="OLE_LINK4"/>
      <w:bookmarkStart w:id="2" w:name="OLE_LINK2"/>
      <w:r>
        <w:t xml:space="preserve">In Rel-19, TR 26.956 </w:t>
      </w:r>
      <w:r>
        <w:rPr>
          <w:rFonts w:hint="eastAsia"/>
        </w:rPr>
        <w:t>studied</w:t>
      </w:r>
      <w:r>
        <w:t xml:space="preserve"> and documented existing and emerging beyond</w:t>
      </w:r>
      <w:r>
        <w:rPr>
          <w:rFonts w:hint="eastAsia"/>
        </w:rPr>
        <w:t xml:space="preserve"> </w:t>
      </w:r>
      <w:r>
        <w:t xml:space="preserve">2D video formats and compression technologies, </w:t>
      </w:r>
      <w:r>
        <w:rPr>
          <w:rFonts w:hint="eastAsia"/>
        </w:rPr>
        <w:t>including</w:t>
      </w:r>
      <w:r>
        <w:t xml:space="preserve"> stereoscopic video, </w:t>
      </w:r>
      <w:r>
        <w:rPr>
          <w:rFonts w:hint="eastAsia"/>
        </w:rPr>
        <w:t xml:space="preserve">dense </w:t>
      </w:r>
      <w:r>
        <w:t>dynamic</w:t>
      </w:r>
      <w:r>
        <w:rPr>
          <w:rFonts w:hint="eastAsia"/>
        </w:rPr>
        <w:t xml:space="preserve"> </w:t>
      </w:r>
      <w:r>
        <w:t>point clouds, multi-view video</w:t>
      </w:r>
      <w:r>
        <w:rPr>
          <w:rFonts w:hint="eastAsia"/>
        </w:rPr>
        <w:t xml:space="preserve"> plus depth</w:t>
      </w:r>
      <w:r>
        <w:t>, dynamic mesh, NeRF (Neural Radiance Fields), 3D Gaussian Splatting, and Light Field. However, due to time constraints, some aspects and formats were</w:t>
      </w:r>
      <w:r>
        <w:rPr>
          <w:rFonts w:hint="eastAsia"/>
        </w:rPr>
        <w:t xml:space="preserve"> left for further study</w:t>
      </w:r>
      <w:r>
        <w:t xml:space="preserve">, including dynamic meshes. </w:t>
      </w:r>
    </w:p>
    <w:p w14:paraId="591EBD4D"/>
    <w:p w14:paraId="591EBD4F">
      <w:pPr>
        <w:rPr>
          <w:rFonts w:eastAsiaTheme="minorEastAsia"/>
          <w:lang w:eastAsia="zh-CN"/>
        </w:rPr>
      </w:pPr>
      <w:bookmarkStart w:id="3" w:name="OLE_LINK9"/>
      <w:r>
        <w:t>TR 26.956, has documented that professionally produced dynamic mesh content with single asset containing people is of sufficient quality and that professional production studios or production solutions supporting that format are available.</w:t>
      </w:r>
      <w:r>
        <w:rPr>
          <w:rFonts w:hint="eastAsia" w:eastAsiaTheme="minorEastAsia"/>
          <w:lang w:eastAsia="zh-CN"/>
        </w:rPr>
        <w:t xml:space="preserve"> </w:t>
      </w:r>
      <w:r>
        <w:t xml:space="preserve">Recent developments show that new </w:t>
      </w:r>
      <w:bookmarkStart w:id="4" w:name="OLE_LINK6"/>
      <w:r>
        <w:t xml:space="preserve">AI-based production </w:t>
      </w:r>
      <w:bookmarkEnd w:id="4"/>
      <w:r>
        <w:t xml:space="preserve">tools may enable </w:t>
      </w:r>
      <w:bookmarkStart w:id="5" w:name="OLE_LINK18"/>
      <w:r>
        <w:t xml:space="preserve">to produce </w:t>
      </w:r>
      <w:bookmarkEnd w:id="5"/>
      <w:r>
        <w:t>volumetric video for a single person with a largely reduced number of cameras. Producing volumetric video content with a simple camera set up and a cloud-based AI post-production solution could enable social media producers to use this new format, hence enabling broader adoption and usage.</w:t>
      </w:r>
      <w:bookmarkStart w:id="6" w:name="OLE_LINK5"/>
      <w:r>
        <w:t xml:space="preserve"> </w:t>
      </w:r>
      <w:bookmarkStart w:id="7" w:name="OLE_LINK7"/>
      <w:r>
        <w:t>Solutions on the market and attainable dynamic mesh visual quality needs to be studied.</w:t>
      </w:r>
      <w:bookmarkEnd w:id="6"/>
      <w:bookmarkEnd w:id="7"/>
    </w:p>
    <w:p w14:paraId="591EBD50">
      <w:pPr>
        <w:rPr>
          <w:rFonts w:eastAsiaTheme="minorEastAsia"/>
          <w:lang w:eastAsia="zh-CN"/>
        </w:rPr>
      </w:pPr>
    </w:p>
    <w:p w14:paraId="591EBD51">
      <w:r>
        <w:t>Volumetric video</w:t>
      </w:r>
      <w:r>
        <w:rPr>
          <w:rFonts w:hint="eastAsia" w:eastAsiaTheme="minorEastAsia"/>
          <w:lang w:eastAsia="zh-CN"/>
        </w:rPr>
        <w:t>, including dynamic mesh content,</w:t>
      </w:r>
      <w:r>
        <w:t xml:space="preserve"> enhances experiences for live events</w:t>
      </w:r>
      <w:r>
        <w:rPr>
          <w:rFonts w:hint="eastAsia" w:eastAsiaTheme="minorEastAsia"/>
          <w:lang w:eastAsia="zh-CN"/>
        </w:rPr>
        <w:t>,</w:t>
      </w:r>
      <w:r>
        <w:t xml:space="preserve"> such as concerts or social media sports training</w:t>
      </w:r>
      <w:bookmarkStart w:id="8" w:name="OLE_LINK19"/>
      <w:r>
        <w:t xml:space="preserve">, </w:t>
      </w:r>
      <w:bookmarkEnd w:id="8"/>
      <w:r>
        <w:t>but it is challenging to produce and compress dynamic mesh content in real time. The feasibility of live production</w:t>
      </w:r>
      <w:r>
        <w:rPr>
          <w:rFonts w:hint="eastAsia" w:eastAsiaTheme="minorEastAsia"/>
          <w:lang w:eastAsia="zh-CN"/>
        </w:rPr>
        <w:t xml:space="preserve"> and </w:t>
      </w:r>
      <w:r>
        <w:t>compression</w:t>
      </w:r>
      <w:r>
        <w:rPr>
          <w:rFonts w:hint="eastAsia" w:eastAsiaTheme="minorEastAsia"/>
          <w:lang w:eastAsia="zh-CN"/>
        </w:rPr>
        <w:t>, as well as the</w:t>
      </w:r>
      <w:r>
        <w:rPr>
          <w:rFonts w:eastAsiaTheme="minorEastAsia"/>
          <w:lang w:eastAsia="zh-CN"/>
        </w:rPr>
        <w:t xml:space="preserve"> </w:t>
      </w:r>
      <w:r>
        <w:t>attainable visual quality needs to be studied.</w:t>
      </w:r>
    </w:p>
    <w:bookmarkEnd w:id="3"/>
    <w:p w14:paraId="591EBD52"/>
    <w:p w14:paraId="591EBD53">
      <w:pPr>
        <w:rPr>
          <w:rFonts w:eastAsiaTheme="minorEastAsia"/>
          <w:lang w:eastAsia="zh-CN"/>
        </w:rPr>
      </w:pPr>
      <w:r>
        <w:t xml:space="preserve">MPEG has finalized in July 2025 the V-DMC standard enabling the compression of dynamic meshes and which will be published beginning </w:t>
      </w:r>
      <w:bookmarkStart w:id="9" w:name="OLE_LINK13"/>
      <w:r>
        <w:t>2026 as ISO/IEC 23090-29</w:t>
      </w:r>
      <w:bookmarkEnd w:id="9"/>
      <w:r>
        <w:t xml:space="preserve">. </w:t>
      </w:r>
      <w:bookmarkStart w:id="10" w:name="OLE_LINK14"/>
      <w:r>
        <w:t>In addition, MPEG made available in October 2025 the first public reference software for V-DMC</w:t>
      </w:r>
      <w:bookmarkEnd w:id="10"/>
      <w:r>
        <w:rPr>
          <w:rFonts w:hint="eastAsia" w:eastAsiaTheme="minorEastAsia"/>
          <w:lang w:eastAsia="zh-CN"/>
        </w:rPr>
        <w:t xml:space="preserve"> (</w:t>
      </w:r>
      <w:r>
        <w:rPr>
          <w:rStyle w:val="21"/>
        </w:rPr>
        <w:t>https://github.com/MPEGGroup/mpeg-vdmc-tm</w:t>
      </w:r>
      <w:r>
        <w:rPr>
          <w:rFonts w:hint="eastAsia" w:eastAsiaTheme="minorEastAsia"/>
          <w:lang w:eastAsia="zh-CN"/>
        </w:rPr>
        <w:t>)</w:t>
      </w:r>
      <w:r>
        <w:t xml:space="preserve">. </w:t>
      </w:r>
      <w:bookmarkStart w:id="11" w:name="OLE_LINK15"/>
      <w:r>
        <w:t>Tools for calculating metrics and a renderer supporting dynamic mesh</w:t>
      </w:r>
      <w:bookmarkEnd w:id="11"/>
      <w:r>
        <w:t xml:space="preserve"> has been made available earlier by MPEG. T</w:t>
      </w:r>
      <w:bookmarkStart w:id="12" w:name="OLE_LINK16"/>
      <w:r>
        <w:t xml:space="preserve">he </w:t>
      </w:r>
      <w:bookmarkStart w:id="13" w:name="OLE_LINK17"/>
      <w:r>
        <w:t xml:space="preserve">MPEG </w:t>
      </w:r>
      <w:r>
        <w:rPr>
          <w:rFonts w:hint="eastAsia" w:eastAsiaTheme="minorEastAsia"/>
          <w:lang w:eastAsia="zh-CN"/>
        </w:rPr>
        <w:t>mesh m</w:t>
      </w:r>
      <w:r>
        <w:t>etric too</w:t>
      </w:r>
      <w:bookmarkEnd w:id="12"/>
      <w:r>
        <w:t>ls</w:t>
      </w:r>
      <w:bookmarkEnd w:id="13"/>
      <w:r>
        <w:t xml:space="preserve"> </w:t>
      </w:r>
      <w:r>
        <w:rPr>
          <w:rFonts w:hint="eastAsia" w:eastAsiaTheme="minorEastAsia"/>
          <w:lang w:eastAsia="zh-CN"/>
        </w:rPr>
        <w:t>(</w:t>
      </w:r>
      <w:r>
        <w:rPr>
          <w:rStyle w:val="21"/>
        </w:rPr>
        <w:t>https://github.com/MPEGGroup/mpeg-pcc-mmetric</w:t>
      </w:r>
      <w:r>
        <w:rPr>
          <w:rFonts w:hint="eastAsia" w:eastAsiaTheme="minorEastAsia"/>
          <w:lang w:eastAsia="zh-CN"/>
        </w:rPr>
        <w:t xml:space="preserve">) </w:t>
      </w:r>
      <w:r>
        <w:t>provide objective scores about the geometry and colour distortion between the original source and the coded/decoded sequence. The MPEG renderer (</w:t>
      </w:r>
      <w:r>
        <w:fldChar w:fldCharType="begin"/>
      </w:r>
      <w:r>
        <w:instrText xml:space="preserve"> HYPERLINK "https://github.com/MPEGGroup/mpeg-3dg-renderer" </w:instrText>
      </w:r>
      <w:r>
        <w:fldChar w:fldCharType="separate"/>
      </w:r>
      <w:r>
        <w:rPr>
          <w:rStyle w:val="21"/>
        </w:rPr>
        <w:t>https://github.com/MPEGGroup/mpeg-3dg-renderer</w:t>
      </w:r>
      <w:r>
        <w:rPr>
          <w:rStyle w:val="21"/>
        </w:rPr>
        <w:fldChar w:fldCharType="end"/>
      </w:r>
      <w:r>
        <w:t xml:space="preserve">) </w:t>
      </w:r>
      <w:r>
        <w:rPr>
          <w:rFonts w:hint="eastAsia" w:eastAsiaTheme="minorEastAsia"/>
          <w:lang w:eastAsia="zh-CN"/>
        </w:rPr>
        <w:t xml:space="preserve">is also available to </w:t>
      </w:r>
      <w:r>
        <w:t>enable the production of 2D videos from a dynamic mesh content by using a camera path and compare subjectively e.g. an original source and the coded/decoded sequence in a DCR test. Test results need to be provided and studied.</w:t>
      </w:r>
    </w:p>
    <w:p w14:paraId="591EBD54">
      <w:pPr>
        <w:rPr>
          <w:rFonts w:eastAsiaTheme="minorEastAsia"/>
          <w:lang w:eastAsia="zh-CN"/>
        </w:rPr>
      </w:pPr>
    </w:p>
    <w:p w14:paraId="591EBD55">
      <w:r>
        <w:rPr>
          <w:rFonts w:hint="eastAsia" w:eastAsiaTheme="minorEastAsia"/>
          <w:lang w:eastAsia="zh-CN"/>
        </w:rPr>
        <w:t>The f</w:t>
      </w:r>
      <w:r>
        <w:t>irst implementations of V-DMC on mobile devices have been demonstrated</w:t>
      </w:r>
      <w:r>
        <w:rPr>
          <w:rFonts w:hint="eastAsia" w:eastAsiaTheme="minorEastAsia"/>
          <w:lang w:eastAsia="zh-CN"/>
        </w:rPr>
        <w:t>,</w:t>
      </w:r>
      <w:r>
        <w:t xml:space="preserve"> but details are not documented. Implementation aspects such as pixel rate limitation for levels and for the number of video decoders in use need to be studied.</w:t>
      </w:r>
    </w:p>
    <w:p w14:paraId="591EBD57"/>
    <w:p w14:paraId="591EBD5C">
      <w:pPr>
        <w:rPr>
          <w:lang w:val="en-US" w:eastAsia="zh-CN"/>
        </w:rPr>
      </w:pPr>
      <w:r>
        <w:rPr>
          <w:lang w:val="en-US" w:eastAsia="zh-CN"/>
        </w:rPr>
        <w:t xml:space="preserve">TR 26.956 </w:t>
      </w:r>
      <w:bookmarkStart w:id="14" w:name="OLE_LINK21"/>
      <w:r>
        <w:rPr>
          <w:lang w:val="en-US" w:eastAsia="zh-CN"/>
        </w:rPr>
        <w:t>has</w:t>
      </w:r>
      <w:bookmarkEnd w:id="14"/>
      <w:r>
        <w:rPr>
          <w:lang w:val="en-US" w:eastAsia="zh-CN"/>
        </w:rPr>
        <w:t xml:space="preserve"> documented that the dense dynamic point clouds can be used for representing volumetric video, similar to dynamic meshes. </w:t>
      </w:r>
      <w:bookmarkStart w:id="15" w:name="OLE_LINK22"/>
      <w:r>
        <w:rPr>
          <w:lang w:val="en-US" w:eastAsia="zh-CN"/>
        </w:rPr>
        <w:t xml:space="preserve">The pros and cons, subjective quality and implementation aspects of dynamic mesh and dense dynamic point cloud should be studied. </w:t>
      </w:r>
      <w:bookmarkEnd w:id="15"/>
      <w:r>
        <w:rPr>
          <w:lang w:val="en-US" w:eastAsia="zh-CN"/>
        </w:rPr>
        <w:t xml:space="preserve"> </w:t>
      </w:r>
    </w:p>
    <w:p w14:paraId="591EBD5D">
      <w:pPr>
        <w:rPr>
          <w:lang w:val="en-US" w:eastAsia="zh-CN"/>
        </w:rPr>
      </w:pPr>
    </w:p>
    <w:p w14:paraId="591EBD5E">
      <w:pPr>
        <w:rPr>
          <w:lang w:val="en-US" w:eastAsia="zh-CN"/>
        </w:rPr>
      </w:pPr>
      <w:bookmarkStart w:id="16" w:name="OLE_LINK24"/>
      <w:bookmarkStart w:id="17" w:name="OLE_LINK23"/>
      <w:r>
        <w:rPr>
          <w:lang w:val="en-US" w:eastAsia="zh-CN"/>
        </w:rPr>
        <w:t>In VR/AR and metaverse applications</w:t>
      </w:r>
      <w:r>
        <w:rPr>
          <w:rFonts w:hint="eastAsia" w:eastAsiaTheme="minorEastAsia"/>
          <w:lang w:val="en-US" w:eastAsia="zh-CN"/>
        </w:rPr>
        <w:t>,</w:t>
      </w:r>
      <w:r>
        <w:rPr>
          <w:lang w:val="en-US" w:eastAsia="zh-CN"/>
        </w:rPr>
        <w:t xml:space="preserve"> dynamic content is increasingly generated with support of AI</w:t>
      </w:r>
      <w:r>
        <w:rPr>
          <w:rFonts w:hint="eastAsia" w:eastAsiaTheme="minorEastAsia"/>
          <w:lang w:val="en-US" w:eastAsia="zh-CN"/>
        </w:rPr>
        <w:t xml:space="preserve">, such as </w:t>
      </w:r>
      <w:bookmarkStart w:id="18" w:name="OLE_LINK25"/>
      <w:r>
        <w:rPr>
          <w:rFonts w:eastAsiaTheme="minorEastAsia"/>
          <w:lang w:val="en-US" w:eastAsia="zh-CN"/>
        </w:rPr>
        <w:t>dynamic</w:t>
      </w:r>
      <w:r>
        <w:rPr>
          <w:rFonts w:hint="eastAsia" w:eastAsiaTheme="minorEastAsia"/>
          <w:lang w:val="en-US" w:eastAsia="zh-CN"/>
        </w:rPr>
        <w:t xml:space="preserve"> mesh</w:t>
      </w:r>
      <w:bookmarkEnd w:id="18"/>
      <w:r>
        <w:rPr>
          <w:rFonts w:hint="eastAsia" w:eastAsiaTheme="minorEastAsia"/>
          <w:lang w:val="en-US" w:eastAsia="zh-CN"/>
        </w:rPr>
        <w:t xml:space="preserve"> generated</w:t>
      </w:r>
      <w:r>
        <w:t xml:space="preserve"> </w:t>
      </w:r>
      <w:r>
        <w:rPr>
          <w:rFonts w:eastAsiaTheme="minorEastAsia"/>
          <w:lang w:val="en-US" w:eastAsia="zh-CN"/>
        </w:rPr>
        <w:t xml:space="preserve">from text </w:t>
      </w:r>
      <w:r>
        <w:rPr>
          <w:rFonts w:hint="eastAsia" w:eastAsiaTheme="minorEastAsia"/>
          <w:lang w:val="en-US" w:eastAsia="zh-CN"/>
        </w:rPr>
        <w:t xml:space="preserve">prompts </w:t>
      </w:r>
      <w:r>
        <w:rPr>
          <w:rFonts w:eastAsiaTheme="minorEastAsia"/>
          <w:lang w:val="en-US" w:eastAsia="zh-CN"/>
        </w:rPr>
        <w:t>or images</w:t>
      </w:r>
      <w:r>
        <w:rPr>
          <w:lang w:val="en-US" w:eastAsia="zh-CN"/>
        </w:rPr>
        <w:t>.</w:t>
      </w:r>
      <w:bookmarkEnd w:id="16"/>
      <w:r>
        <w:rPr>
          <w:lang w:val="en-US" w:eastAsia="zh-CN"/>
        </w:rPr>
        <w:t xml:space="preserve"> </w:t>
      </w:r>
      <w:bookmarkEnd w:id="17"/>
      <w:bookmarkStart w:id="19" w:name="OLE_LINK26"/>
      <w:r>
        <w:t xml:space="preserve">For dynamic </w:t>
      </w:r>
      <w:r>
        <w:rPr>
          <w:rFonts w:hint="eastAsia" w:eastAsia="宋体"/>
          <w:lang w:val="en-US" w:eastAsia="zh-CN"/>
        </w:rPr>
        <w:t xml:space="preserve">mesh </w:t>
      </w:r>
      <w:r>
        <w:rPr>
          <w:rFonts w:hint="eastAsia" w:eastAsiaTheme="minorEastAsia"/>
          <w:lang w:eastAsia="zh-CN"/>
        </w:rPr>
        <w:t>sequences</w:t>
      </w:r>
      <w:r>
        <w:t xml:space="preserve">, </w:t>
      </w:r>
      <w:r>
        <w:rPr>
          <w:rFonts w:hint="eastAsia" w:eastAsiaTheme="minorEastAsia"/>
          <w:lang w:eastAsia="zh-CN"/>
        </w:rPr>
        <w:t xml:space="preserve">the </w:t>
      </w:r>
      <w:r>
        <w:t>quality assessment</w:t>
      </w:r>
      <w:r>
        <w:rPr>
          <w:rFonts w:hint="eastAsia" w:eastAsia="宋体"/>
          <w:lang w:val="en-US" w:eastAsia="zh-CN"/>
        </w:rPr>
        <w:t xml:space="preserve"> may </w:t>
      </w:r>
      <w:r>
        <w:t>go beyond the geometric quality of the model itself</w:t>
      </w:r>
      <w:r>
        <w:rPr>
          <w:rFonts w:hint="eastAsia" w:eastAsia="宋体"/>
          <w:lang w:val="en-US" w:eastAsia="zh-CN"/>
        </w:rPr>
        <w:t xml:space="preserve">, other aspects such as </w:t>
      </w:r>
      <w:r>
        <w:t>whether the motion is natural, whether transitions between frames are smooth, and whether prolonged viewing causes visual fatigue need to be considered.</w:t>
      </w:r>
      <w:bookmarkEnd w:id="19"/>
      <w:r>
        <w:t xml:space="preserve"> </w:t>
      </w:r>
      <w:r>
        <w:rPr>
          <w:rFonts w:hint="eastAsia"/>
        </w:rPr>
        <w:t xml:space="preserve">In applications </w:t>
      </w:r>
      <w:r>
        <w:t>where content is</w:t>
      </w:r>
      <w:r>
        <w:rPr>
          <w:rFonts w:hint="eastAsia"/>
        </w:rPr>
        <w:t xml:space="preserve"> AI-generated, an original reference model </w:t>
      </w:r>
      <w:r>
        <w:t>typically</w:t>
      </w:r>
      <w:r>
        <w:rPr>
          <w:rFonts w:hint="eastAsia"/>
        </w:rPr>
        <w:t xml:space="preserve"> does not exist. Currently, there are no objective metrics or subjective methodologies for evaluating dynamic meshes without a reference. </w:t>
      </w:r>
      <w:r>
        <w:rPr>
          <w:rFonts w:hint="eastAsia" w:eastAsiaTheme="minorEastAsia"/>
          <w:lang w:eastAsia="zh-CN"/>
        </w:rPr>
        <w:t>To address this,</w:t>
      </w:r>
      <w:r>
        <w:rPr>
          <w:rFonts w:hint="eastAsia" w:eastAsiaTheme="minorEastAsia"/>
          <w:lang w:val="en-US" w:eastAsia="zh-CN"/>
        </w:rPr>
        <w:t xml:space="preserve"> </w:t>
      </w:r>
      <w:r>
        <w:rPr>
          <w:rFonts w:hint="eastAsia" w:eastAsia="宋体"/>
          <w:lang w:val="en-US" w:eastAsia="zh-CN"/>
        </w:rPr>
        <w:t>t</w:t>
      </w:r>
      <w:r>
        <w:rPr>
          <w:rFonts w:hint="eastAsia" w:eastAsiaTheme="minorEastAsia"/>
          <w:lang w:eastAsia="zh-CN"/>
        </w:rPr>
        <w:t>he</w:t>
      </w:r>
      <w:r>
        <w:rPr>
          <w:rFonts w:hint="eastAsia" w:eastAsiaTheme="minorEastAsia"/>
          <w:lang w:val="en-US" w:eastAsia="zh-CN"/>
        </w:rPr>
        <w:t xml:space="preserve"> </w:t>
      </w:r>
      <w:r>
        <w:t>s</w:t>
      </w:r>
      <w:r>
        <w:rPr>
          <w:rFonts w:hint="eastAsia"/>
        </w:rPr>
        <w:t xml:space="preserve">tudy </w:t>
      </w:r>
      <w:r>
        <w:rPr>
          <w:rFonts w:hint="eastAsia" w:eastAsia="宋体"/>
          <w:lang w:val="en-US" w:eastAsia="zh-CN"/>
        </w:rPr>
        <w:t>propose</w:t>
      </w:r>
      <w:r>
        <w:rPr>
          <w:rFonts w:eastAsia="宋体"/>
          <w:lang w:val="en-US" w:eastAsia="zh-CN"/>
        </w:rPr>
        <w:t>s</w:t>
      </w:r>
      <w:r>
        <w:rPr>
          <w:rFonts w:hint="eastAsia" w:eastAsia="宋体"/>
          <w:lang w:val="en-US" w:eastAsia="zh-CN"/>
        </w:rPr>
        <w:t xml:space="preserve"> </w:t>
      </w:r>
      <w:r>
        <w:rPr>
          <w:rFonts w:hint="eastAsia"/>
        </w:rPr>
        <w:t xml:space="preserve">to develop a framework for assessing the quality of AI-generated dynamic meshes without requiring </w:t>
      </w:r>
      <w:r>
        <w:t>a reference or</w:t>
      </w:r>
      <w:r>
        <w:rPr>
          <w:rFonts w:hint="eastAsia"/>
        </w:rPr>
        <w:t xml:space="preserve"> </w:t>
      </w:r>
      <w:r>
        <w:t xml:space="preserve">an </w:t>
      </w:r>
      <w:r>
        <w:rPr>
          <w:rFonts w:hint="eastAsia"/>
        </w:rPr>
        <w:t>original model.</w:t>
      </w:r>
      <w:r>
        <w:t xml:space="preserve"> </w:t>
      </w:r>
      <w:r>
        <w:rPr>
          <w:rFonts w:hint="eastAsia"/>
          <w:lang w:val="en-US" w:eastAsia="zh-CN"/>
        </w:rPr>
        <w:t>The idea is to</w:t>
      </w:r>
      <w:r>
        <w:rPr>
          <w:lang w:val="en-US" w:eastAsia="zh-CN"/>
        </w:rPr>
        <w:t xml:space="preserve"> decouple</w:t>
      </w:r>
      <w:r>
        <w:rPr>
          <w:rFonts w:hint="eastAsia"/>
          <w:lang w:val="en-US" w:eastAsia="zh-CN"/>
        </w:rPr>
        <w:t xml:space="preserve"> </w:t>
      </w:r>
      <w:r>
        <w:rPr>
          <w:lang w:val="en-US" w:eastAsia="zh-CN"/>
        </w:rPr>
        <w:t xml:space="preserve">geometric and appearance information from textured 3D meshes. </w:t>
      </w:r>
    </w:p>
    <w:p w14:paraId="591EBD5F">
      <w:pPr>
        <w:rPr>
          <w:lang w:val="en-US" w:eastAsia="zh-CN"/>
        </w:rPr>
      </w:pPr>
    </w:p>
    <w:p w14:paraId="591EBD60">
      <w:pPr>
        <w:rPr>
          <w:lang w:val="en-US" w:eastAsia="zh-CN"/>
        </w:rPr>
      </w:pPr>
      <w:r>
        <w:rPr>
          <w:lang w:val="en-US" w:eastAsia="zh-CN"/>
        </w:rPr>
        <w:t xml:space="preserve">TR 26.956 </w:t>
      </w:r>
      <w:r>
        <w:rPr>
          <w:rFonts w:hint="eastAsia" w:eastAsiaTheme="minorEastAsia"/>
          <w:lang w:val="en-US" w:eastAsia="zh-CN"/>
        </w:rPr>
        <w:t xml:space="preserve">has </w:t>
      </w:r>
      <w:r>
        <w:rPr>
          <w:lang w:val="en-US" w:eastAsia="zh-CN"/>
        </w:rPr>
        <w:t>studied volumetric video based on dense dynamic point cloud</w:t>
      </w:r>
      <w:r>
        <w:rPr>
          <w:rFonts w:hint="eastAsia" w:eastAsiaTheme="minorEastAsia"/>
          <w:lang w:val="en-US" w:eastAsia="zh-CN"/>
        </w:rPr>
        <w:t>s</w:t>
      </w:r>
      <w:r>
        <w:rPr>
          <w:lang w:val="en-US" w:eastAsia="zh-CN"/>
        </w:rPr>
        <w:t xml:space="preserve"> and a study of the Gaussian Splat representation format is on-going. Doing the proposed study on dynamic mesh now would </w:t>
      </w:r>
      <w:r>
        <w:rPr>
          <w:rFonts w:hint="eastAsia" w:eastAsiaTheme="minorEastAsia"/>
          <w:lang w:val="en-US" w:eastAsia="zh-CN"/>
        </w:rPr>
        <w:t>help</w:t>
      </w:r>
      <w:r>
        <w:rPr>
          <w:lang w:val="en-US" w:eastAsia="zh-CN"/>
        </w:rPr>
        <w:t xml:space="preserve"> that all three relevant formats for volumetric video have been studied allowing to take an informed decision for potential next steps.</w:t>
      </w:r>
    </w:p>
    <w:p w14:paraId="591EBD61">
      <w:pPr>
        <w:rPr>
          <w:lang w:val="en-US" w:eastAsia="zh-CN"/>
        </w:rPr>
      </w:pPr>
    </w:p>
    <w:p w14:paraId="591EBD62">
      <w:pPr>
        <w:rPr>
          <w:lang w:val="en-US" w:eastAsia="zh-CN"/>
        </w:rPr>
      </w:pPr>
      <w:r>
        <w:rPr>
          <w:lang w:val="en-US" w:eastAsia="zh-CN"/>
        </w:rPr>
        <w:t xml:space="preserve">The study should identify gaps and </w:t>
      </w:r>
      <w:r>
        <w:rPr>
          <w:rFonts w:hint="eastAsia" w:eastAsiaTheme="minorEastAsia"/>
          <w:lang w:val="en-US" w:eastAsia="zh-CN"/>
        </w:rPr>
        <w:t xml:space="preserve">propose </w:t>
      </w:r>
      <w:r>
        <w:rPr>
          <w:lang w:val="en-US" w:eastAsia="zh-CN"/>
        </w:rPr>
        <w:t>next steps for standardization work.</w:t>
      </w:r>
    </w:p>
    <w:bookmarkEnd w:id="0"/>
    <w:p w14:paraId="591EBD64"/>
    <w:bookmarkEnd w:id="1"/>
    <w:p w14:paraId="591EBD66"/>
    <w:p w14:paraId="591EBD76">
      <w:pPr>
        <w:pStyle w:val="32"/>
        <w:numPr>
          <w:ilvl w:val="255"/>
          <w:numId w:val="0"/>
        </w:numPr>
      </w:pPr>
    </w:p>
    <w:bookmarkEnd w:id="2"/>
    <w:p w14:paraId="591EBD7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591EBD78">
      <w:pPr>
        <w:spacing w:after="160" w:line="256" w:lineRule="auto"/>
        <w:rPr>
          <w:rFonts w:eastAsia="Malgun Gothic"/>
          <w:color w:val="000000" w:themeColor="text1"/>
          <w:lang w:eastAsia="ko-KR"/>
          <w14:textFill>
            <w14:solidFill>
              <w14:schemeClr w14:val="tx1"/>
            </w14:solidFill>
          </w14:textFill>
        </w:rPr>
      </w:pPr>
      <w:bookmarkStart w:id="20" w:name="OLE_LINK8"/>
      <w:r>
        <w:rPr>
          <w:color w:val="000000" w:themeColor="text1"/>
          <w:lang w:val="en-US"/>
          <w14:textFill>
            <w14:solidFill>
              <w14:schemeClr w14:val="tx1"/>
            </w14:solidFill>
          </w14:textFill>
        </w:rPr>
        <w:t>The study item has the following objectives:</w:t>
      </w:r>
      <w:bookmarkStart w:id="21" w:name="OLE_LINK1"/>
    </w:p>
    <w:bookmarkEnd w:id="21"/>
    <w:p w14:paraId="591EBD79">
      <w:pPr>
        <w:pStyle w:val="32"/>
        <w:numPr>
          <w:ilvl w:val="0"/>
          <w:numId w:val="2"/>
        </w:numPr>
        <w:rPr>
          <w:color w:val="000000" w:themeColor="text1"/>
          <w:lang w:val="en-US" w:eastAsia="zh-CN"/>
          <w14:textFill>
            <w14:solidFill>
              <w14:schemeClr w14:val="tx1"/>
            </w14:solidFill>
          </w14:textFill>
        </w:rPr>
      </w:pPr>
      <w:r>
        <w:rPr>
          <w:rFonts w:eastAsia="微软雅黑"/>
          <w:color w:val="000000" w:themeColor="text1"/>
          <w:lang w:eastAsia="zh-CN"/>
          <w14:textFill>
            <w14:solidFill>
              <w14:schemeClr w14:val="tx1"/>
            </w14:solidFill>
          </w14:textFill>
        </w:rPr>
        <w:t>S</w:t>
      </w:r>
      <w:r>
        <w:rPr>
          <w:rFonts w:hint="eastAsia" w:eastAsia="微软雅黑"/>
          <w:color w:val="000000" w:themeColor="text1"/>
          <w:lang w:eastAsia="zh-CN"/>
          <w14:textFill>
            <w14:solidFill>
              <w14:schemeClr w14:val="tx1"/>
            </w14:solidFill>
          </w14:textFill>
        </w:rPr>
        <w:t>tudy and document the following aspects related to dynamic mesh:</w:t>
      </w:r>
    </w:p>
    <w:p w14:paraId="591EBD7A">
      <w:pPr>
        <w:pStyle w:val="32"/>
        <w:numPr>
          <w:ilvl w:val="0"/>
          <w:numId w:val="3"/>
        </w:numPr>
        <w:rPr>
          <w:lang w:val="en-US" w:eastAsia="zh-CN"/>
        </w:rPr>
      </w:pPr>
      <w:r>
        <w:rPr>
          <w:rFonts w:eastAsia="宋体"/>
          <w:lang w:val="en-US" w:eastAsia="zh-CN"/>
        </w:rPr>
        <w:t>D</w:t>
      </w:r>
      <w:r>
        <w:rPr>
          <w:rFonts w:hint="eastAsia" w:eastAsia="宋体"/>
          <w:lang w:val="en-US" w:eastAsia="zh-CN"/>
        </w:rPr>
        <w:t>ynamic mesh content generation</w:t>
      </w:r>
      <w:r>
        <w:rPr>
          <w:rFonts w:eastAsia="宋体"/>
          <w:lang w:eastAsia="zh-CN"/>
        </w:rPr>
        <w:t xml:space="preserve"> </w:t>
      </w:r>
      <w:r>
        <w:rPr>
          <w:rFonts w:hint="eastAsia"/>
          <w:lang w:eastAsia="zh-CN"/>
        </w:rPr>
        <w:t xml:space="preserve">for offline production in prosumer </w:t>
      </w:r>
      <w:r>
        <w:rPr>
          <w:lang w:eastAsia="zh-CN"/>
        </w:rPr>
        <w:t xml:space="preserve">use </w:t>
      </w:r>
      <w:r>
        <w:rPr>
          <w:rFonts w:hint="eastAsia"/>
          <w:lang w:eastAsia="zh-CN"/>
        </w:rPr>
        <w:t>cases (e.g.</w:t>
      </w:r>
      <w:r>
        <w:rPr>
          <w:lang w:eastAsia="zh-CN"/>
        </w:rPr>
        <w:t xml:space="preserve"> for social media services</w:t>
      </w:r>
      <w:r>
        <w:rPr>
          <w:rFonts w:hint="eastAsia"/>
          <w:lang w:eastAsia="zh-CN"/>
        </w:rPr>
        <w:t xml:space="preserve">) </w:t>
      </w:r>
      <w:r>
        <w:rPr>
          <w:lang w:eastAsia="zh-CN"/>
        </w:rPr>
        <w:t>with a limited set of cameras</w:t>
      </w:r>
      <w:r>
        <w:rPr>
          <w:rFonts w:hint="eastAsia"/>
          <w:lang w:val="en-US" w:eastAsia="zh-CN"/>
        </w:rPr>
        <w:t xml:space="preserve"> (e.g., less than </w:t>
      </w:r>
      <w:r>
        <w:rPr>
          <w:lang w:val="en-US" w:eastAsia="zh-CN"/>
        </w:rPr>
        <w:t>5</w:t>
      </w:r>
      <w:r>
        <w:rPr>
          <w:rFonts w:hint="eastAsia"/>
          <w:lang w:val="en-US" w:eastAsia="zh-CN"/>
        </w:rPr>
        <w:t>)</w:t>
      </w:r>
      <w:r>
        <w:rPr>
          <w:lang w:eastAsia="zh-CN"/>
        </w:rPr>
        <w:t xml:space="preserve"> and offline production and compression.</w:t>
      </w:r>
    </w:p>
    <w:p w14:paraId="591EBD7B">
      <w:pPr>
        <w:pStyle w:val="32"/>
        <w:numPr>
          <w:ilvl w:val="0"/>
          <w:numId w:val="3"/>
        </w:numPr>
        <w:rPr>
          <w:lang w:val="en-US" w:eastAsia="zh-CN"/>
        </w:rPr>
      </w:pPr>
      <w:r>
        <w:rPr>
          <w:lang w:eastAsia="zh-CN"/>
        </w:rPr>
        <w:t xml:space="preserve">Dynamic mesh </w:t>
      </w:r>
      <w:r>
        <w:rPr>
          <w:rFonts w:hint="eastAsia"/>
          <w:lang w:eastAsia="zh-CN"/>
        </w:rPr>
        <w:t xml:space="preserve">for real-time </w:t>
      </w:r>
      <w:r>
        <w:rPr>
          <w:rFonts w:hint="eastAsia"/>
          <w:lang w:val="en-US" w:eastAsia="zh-CN"/>
        </w:rPr>
        <w:t xml:space="preserve">services </w:t>
      </w:r>
      <w:r>
        <w:t>(e.g. live concerts, live in social media sports training) and real time compression.</w:t>
      </w:r>
    </w:p>
    <w:p w14:paraId="591EBD7C">
      <w:pPr>
        <w:pStyle w:val="28"/>
        <w:ind w:left="1008"/>
        <w:rPr>
          <w:lang w:val="en-US" w:eastAsia="zh-CN"/>
        </w:rPr>
      </w:pPr>
      <w:r>
        <w:rPr>
          <w:rFonts w:hint="eastAsia"/>
          <w:lang w:val="en-US" w:eastAsia="zh-CN"/>
        </w:rPr>
        <w:t>NOTE</w:t>
      </w:r>
      <w:r>
        <w:rPr>
          <w:lang w:val="en-US" w:eastAsia="zh-CN"/>
        </w:rPr>
        <w:t xml:space="preserve"> 1</w:t>
      </w:r>
      <w:r>
        <w:rPr>
          <w:rFonts w:hint="eastAsia"/>
          <w:lang w:val="en-US" w:eastAsia="zh-CN"/>
        </w:rPr>
        <w:t xml:space="preserve">: </w:t>
      </w:r>
      <w:r>
        <w:t>Avatar-mesh-based real-time communication use case</w:t>
      </w:r>
      <w:r>
        <w:rPr>
          <w:rFonts w:hint="eastAsia" w:eastAsia="宋体"/>
          <w:lang w:val="en-US" w:eastAsia="zh-CN"/>
        </w:rPr>
        <w:t xml:space="preserve"> </w:t>
      </w:r>
      <w:r>
        <w:rPr>
          <w:rFonts w:eastAsia="宋体"/>
          <w:lang w:val="en-US" w:eastAsia="zh-CN"/>
        </w:rPr>
        <w:t>is not in scope of this study</w:t>
      </w:r>
      <w:r>
        <w:rPr>
          <w:rFonts w:hint="eastAsia"/>
          <w:lang w:val="en-US" w:eastAsia="zh-CN"/>
        </w:rPr>
        <w:t>.</w:t>
      </w:r>
    </w:p>
    <w:p w14:paraId="591EBD7F">
      <w:pPr>
        <w:pStyle w:val="32"/>
        <w:numPr>
          <w:ilvl w:val="0"/>
          <w:numId w:val="3"/>
        </w:numPr>
        <w:rPr>
          <w:lang w:val="en-US" w:eastAsia="zh-CN"/>
        </w:rPr>
      </w:pPr>
      <w:r>
        <w:rPr>
          <w:rFonts w:hint="eastAsia"/>
          <w:lang w:eastAsia="zh-CN"/>
        </w:rPr>
        <w:t>Evaluate dynamic mesh formats with existing and emerging compression technologies</w:t>
      </w:r>
      <w:r>
        <w:rPr>
          <w:lang w:eastAsia="zh-CN"/>
        </w:rPr>
        <w:t xml:space="preserve"> (</w:t>
      </w:r>
      <w:r>
        <w:rPr>
          <w:rFonts w:hint="eastAsia"/>
          <w:lang w:val="en-US" w:eastAsia="zh-CN"/>
        </w:rPr>
        <w:t xml:space="preserve">e.g, </w:t>
      </w:r>
      <w:r>
        <w:rPr>
          <w:lang w:eastAsia="zh-CN"/>
        </w:rPr>
        <w:t>MPEG V-DMC with HEVC as underlying 2D codec)</w:t>
      </w:r>
      <w:r>
        <w:rPr>
          <w:rFonts w:hint="eastAsia"/>
          <w:lang w:eastAsia="zh-CN"/>
        </w:rPr>
        <w:t>, providing objective results and videos for subjective testing</w:t>
      </w:r>
      <w:r>
        <w:rPr>
          <w:lang w:eastAsia="zh-CN"/>
        </w:rPr>
        <w:t xml:space="preserve"> based on MPEG defined objective metrics and subjective test methodology, similar to what TR 26.956 provided for V-PCC and using V-PCC as a baseline/comparing with V-PCC.</w:t>
      </w:r>
    </w:p>
    <w:p w14:paraId="591EBD80">
      <w:pPr>
        <w:pStyle w:val="32"/>
        <w:numPr>
          <w:ilvl w:val="0"/>
          <w:numId w:val="3"/>
        </w:numPr>
        <w:rPr>
          <w:lang w:val="en-US" w:eastAsia="zh-CN"/>
        </w:rPr>
      </w:pPr>
      <w:r>
        <w:rPr>
          <w:lang w:val="en-US" w:eastAsia="zh-CN"/>
        </w:rPr>
        <w:t>Study implementation aspects in number of required video decoders and pixel rate limitations.</w:t>
      </w:r>
    </w:p>
    <w:p w14:paraId="591EBD81">
      <w:pPr>
        <w:pStyle w:val="32"/>
        <w:numPr>
          <w:ilvl w:val="0"/>
          <w:numId w:val="3"/>
        </w:numPr>
        <w:rPr>
          <w:lang w:val="en-US" w:eastAsia="zh-CN"/>
        </w:rPr>
      </w:pPr>
      <w:r>
        <w:rPr>
          <w:lang w:val="en-US" w:eastAsia="zh-CN"/>
        </w:rPr>
        <w:t>Compare dynamic mesh with other formats to derive recommendations on which formats suit different conditions.</w:t>
      </w:r>
    </w:p>
    <w:p w14:paraId="591EBD82">
      <w:pPr>
        <w:pStyle w:val="32"/>
        <w:numPr>
          <w:ilvl w:val="0"/>
          <w:numId w:val="3"/>
        </w:numPr>
        <w:rPr>
          <w:lang w:val="en-US" w:eastAsia="zh-CN"/>
        </w:rPr>
      </w:pPr>
      <w:r>
        <w:rPr>
          <w:lang w:val="en-US" w:eastAsia="zh-CN"/>
        </w:rPr>
        <w:t>Develop and study</w:t>
      </w:r>
      <w:r>
        <w:rPr>
          <w:rFonts w:hint="eastAsia"/>
        </w:rPr>
        <w:t xml:space="preserve"> a framework for assessing the quality of AI-generated dynamic meshes without requiring </w:t>
      </w:r>
      <w:r>
        <w:t>a reference or</w:t>
      </w:r>
      <w:r>
        <w:rPr>
          <w:rFonts w:hint="eastAsia"/>
        </w:rPr>
        <w:t xml:space="preserve"> </w:t>
      </w:r>
      <w:r>
        <w:t xml:space="preserve">an </w:t>
      </w:r>
      <w:r>
        <w:rPr>
          <w:rFonts w:hint="eastAsia"/>
        </w:rPr>
        <w:t>original model</w:t>
      </w:r>
      <w:r>
        <w:t>.</w:t>
      </w:r>
    </w:p>
    <w:p w14:paraId="591EBD85">
      <w:pPr>
        <w:pStyle w:val="28"/>
        <w:rPr>
          <w:color w:val="000000" w:themeColor="text1"/>
          <w14:textFill>
            <w14:solidFill>
              <w14:schemeClr w14:val="tx1"/>
            </w14:solidFill>
          </w14:textFill>
        </w:rPr>
      </w:pPr>
      <w:r>
        <w:rPr>
          <w:color w:val="000000" w:themeColor="text1"/>
          <w:lang w:eastAsia="zh-CN"/>
          <w14:textFill>
            <w14:solidFill>
              <w14:schemeClr w14:val="tx1"/>
            </w14:solidFill>
          </w14:textFill>
        </w:rPr>
        <w:t xml:space="preserve">NOTE </w:t>
      </w:r>
      <w:r>
        <w:rPr>
          <w:rFonts w:eastAsiaTheme="minor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Reuse existing performance results from MPEG or other standard organizations, fitting in the evaluation framework defined in 3GPP may be considered and is recommended to </w:t>
      </w:r>
      <w:r>
        <w:rPr>
          <w:rFonts w:hint="eastAsia"/>
          <w:color w:val="000000" w:themeColor="text1"/>
          <w:lang w:val="en-US" w:eastAsia="zh-CN"/>
          <w14:textFill>
            <w14:solidFill>
              <w14:schemeClr w14:val="tx1"/>
            </w14:solidFill>
          </w14:textFill>
        </w:rPr>
        <w:t xml:space="preserve">be </w:t>
      </w:r>
      <w:r>
        <w:rPr>
          <w:color w:val="000000" w:themeColor="text1"/>
          <w:lang w:eastAsia="zh-CN"/>
          <w14:textFill>
            <w14:solidFill>
              <w14:schemeClr w14:val="tx1"/>
            </w14:solidFill>
          </w14:textFill>
        </w:rPr>
        <w:t>done.</w:t>
      </w:r>
      <w:r>
        <w:rPr>
          <w:color w:val="000000" w:themeColor="text1"/>
          <w14:textFill>
            <w14:solidFill>
              <w14:schemeClr w14:val="tx1"/>
            </w14:solidFill>
          </w14:textFill>
        </w:rPr>
        <w:t xml:space="preserve"> If there are no suitable existing performance results, communication with MPEG to ask for potential further evaluation on selected topics may be done, but 3GPP may also initiate the evaluation independently of MPEG.</w:t>
      </w:r>
    </w:p>
    <w:p w14:paraId="591EBD8A">
      <w:pPr>
        <w:pStyle w:val="32"/>
        <w:numPr>
          <w:ilvl w:val="0"/>
          <w:numId w:val="2"/>
        </w:numPr>
        <w:spacing w:after="0"/>
        <w:rPr>
          <w:rFonts w:eastAsiaTheme="minor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Identify potential areas for normative work as the next phase and communicate with other 3GPP WGs regarding</w:t>
      </w:r>
      <w:r>
        <w:rPr>
          <w:rFonts w:hint="eastAsia"/>
          <w:color w:val="000000" w:themeColor="text1"/>
          <w:lang w:eastAsia="zh-CN"/>
          <w14:textFill>
            <w14:solidFill>
              <w14:schemeClr w14:val="tx1"/>
            </w14:solidFill>
          </w14:textFill>
        </w:rPr>
        <w:t xml:space="preserve"> r</w:t>
      </w:r>
      <w:r>
        <w:rPr>
          <w:color w:val="000000" w:themeColor="text1"/>
          <w:lang w:eastAsia="zh-CN"/>
          <w14:textFill>
            <w14:solidFill>
              <w14:schemeClr w14:val="tx1"/>
            </w14:solidFill>
          </w14:textFill>
        </w:rPr>
        <w:t>elevant aspects related to the study to the extent needed</w:t>
      </w:r>
      <w:r>
        <w:rPr>
          <w:rFonts w:hint="eastAsia" w:eastAsiaTheme="minorEastAsia"/>
          <w:color w:val="000000" w:themeColor="text1"/>
          <w:lang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 </w:t>
      </w:r>
    </w:p>
    <w:bookmarkEnd w:id="20"/>
    <w:p w14:paraId="591EBD8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591EBD8C"/>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91EB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91EBD8D">
            <w:pPr>
              <w:pStyle w:val="24"/>
            </w:pPr>
            <w:r>
              <w:t>New specifications {One line per specification. Create/delete lines as needed}</w:t>
            </w:r>
          </w:p>
        </w:tc>
      </w:tr>
      <w:tr w14:paraId="591E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591EBD8F">
            <w:pPr>
              <w:pStyle w:val="24"/>
            </w:pPr>
            <w:r>
              <w:t xml:space="preserve">Type </w:t>
            </w:r>
          </w:p>
        </w:tc>
        <w:tc>
          <w:tcPr>
            <w:tcW w:w="1134" w:type="dxa"/>
            <w:shd w:val="clear" w:color="auto" w:fill="D9D9D9"/>
            <w:tcMar>
              <w:left w:w="57" w:type="dxa"/>
              <w:right w:w="57" w:type="dxa"/>
            </w:tcMar>
          </w:tcPr>
          <w:p w14:paraId="591EBD90">
            <w:pPr>
              <w:pStyle w:val="24"/>
            </w:pPr>
            <w:r>
              <w:t>TS/TR number</w:t>
            </w:r>
          </w:p>
        </w:tc>
        <w:tc>
          <w:tcPr>
            <w:tcW w:w="2409" w:type="dxa"/>
            <w:shd w:val="clear" w:color="auto" w:fill="D9D9D9"/>
            <w:tcMar>
              <w:left w:w="57" w:type="dxa"/>
              <w:right w:w="57" w:type="dxa"/>
            </w:tcMar>
          </w:tcPr>
          <w:p w14:paraId="591EBD91">
            <w:pPr>
              <w:pStyle w:val="24"/>
            </w:pPr>
            <w:r>
              <w:t>Title</w:t>
            </w:r>
          </w:p>
        </w:tc>
        <w:tc>
          <w:tcPr>
            <w:tcW w:w="993" w:type="dxa"/>
            <w:shd w:val="clear" w:color="auto" w:fill="D9D9D9"/>
            <w:tcMar>
              <w:left w:w="57" w:type="dxa"/>
              <w:right w:w="57" w:type="dxa"/>
            </w:tcMar>
          </w:tcPr>
          <w:p w14:paraId="591EBD92">
            <w:pPr>
              <w:pStyle w:val="24"/>
            </w:pPr>
            <w:r>
              <w:t xml:space="preserve">For info </w:t>
            </w:r>
            <w:r>
              <w:br w:type="textWrapping"/>
            </w:r>
            <w:r>
              <w:t xml:space="preserve">at TSG# </w:t>
            </w:r>
          </w:p>
        </w:tc>
        <w:tc>
          <w:tcPr>
            <w:tcW w:w="1074" w:type="dxa"/>
            <w:shd w:val="clear" w:color="auto" w:fill="D9D9D9"/>
            <w:tcMar>
              <w:left w:w="57" w:type="dxa"/>
              <w:right w:w="57" w:type="dxa"/>
            </w:tcMar>
          </w:tcPr>
          <w:p w14:paraId="591EBD93">
            <w:pPr>
              <w:pStyle w:val="24"/>
            </w:pPr>
            <w:r>
              <w:t>For approval at TSG#</w:t>
            </w:r>
          </w:p>
        </w:tc>
        <w:tc>
          <w:tcPr>
            <w:tcW w:w="2186" w:type="dxa"/>
            <w:shd w:val="clear" w:color="auto" w:fill="D9D9D9"/>
            <w:tcMar>
              <w:left w:w="57" w:type="dxa"/>
              <w:right w:w="57" w:type="dxa"/>
            </w:tcMar>
          </w:tcPr>
          <w:p w14:paraId="591EBD94">
            <w:pPr>
              <w:pStyle w:val="24"/>
            </w:pPr>
            <w:r>
              <w:t>Rapporteur</w:t>
            </w:r>
          </w:p>
        </w:tc>
      </w:tr>
      <w:tr w14:paraId="591E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591EBD96">
            <w:pPr>
              <w:pStyle w:val="26"/>
              <w:jc w:val="center"/>
              <w:rPr>
                <w:rFonts w:ascii="Times New Roman" w:hAnsi="Times New Roman" w:eastAsia="宋体"/>
                <w:i/>
                <w:iCs/>
                <w:sz w:val="21"/>
                <w:szCs w:val="21"/>
                <w:lang w:val="en-US" w:eastAsia="zh-CN"/>
              </w:rPr>
            </w:pPr>
          </w:p>
        </w:tc>
        <w:tc>
          <w:tcPr>
            <w:tcW w:w="1134" w:type="dxa"/>
          </w:tcPr>
          <w:p w14:paraId="591EBD97">
            <w:pPr>
              <w:pStyle w:val="26"/>
              <w:jc w:val="center"/>
              <w:rPr>
                <w:rFonts w:ascii="Times New Roman" w:hAnsi="Times New Roman" w:eastAsia="宋体"/>
                <w:i/>
                <w:iCs/>
                <w:sz w:val="21"/>
                <w:szCs w:val="21"/>
                <w:lang w:val="en-US" w:eastAsia="zh-CN"/>
              </w:rPr>
            </w:pPr>
          </w:p>
        </w:tc>
        <w:tc>
          <w:tcPr>
            <w:tcW w:w="2409" w:type="dxa"/>
          </w:tcPr>
          <w:p w14:paraId="591EBD98">
            <w:pPr>
              <w:pStyle w:val="26"/>
              <w:rPr>
                <w:rFonts w:ascii="Times New Roman" w:hAnsi="Times New Roman"/>
                <w:i/>
                <w:iCs/>
                <w:sz w:val="21"/>
                <w:szCs w:val="21"/>
              </w:rPr>
            </w:pPr>
          </w:p>
        </w:tc>
        <w:tc>
          <w:tcPr>
            <w:tcW w:w="993" w:type="dxa"/>
          </w:tcPr>
          <w:p w14:paraId="591EBD99">
            <w:pPr>
              <w:pStyle w:val="26"/>
              <w:jc w:val="center"/>
              <w:rPr>
                <w:rFonts w:ascii="Times New Roman" w:hAnsi="Times New Roman" w:eastAsia="宋体"/>
                <w:i/>
                <w:iCs/>
                <w:sz w:val="21"/>
                <w:szCs w:val="21"/>
                <w:lang w:val="en-US" w:eastAsia="zh-CN"/>
              </w:rPr>
            </w:pPr>
            <w:commentRangeStart w:id="0"/>
            <w:r>
              <w:rPr>
                <w:rFonts w:hint="eastAsia"/>
                <w:b/>
                <w:color w:val="000000" w:themeColor="text1"/>
                <w:sz w:val="20"/>
                <w:lang w:val="en-US" w:eastAsia="zh-CN"/>
                <w14:textFill>
                  <w14:solidFill>
                    <w14:schemeClr w14:val="tx1"/>
                  </w14:solidFill>
                </w14:textFill>
              </w:rPr>
              <w:t>SA#11</w:t>
            </w:r>
            <w:r>
              <w:rPr>
                <w:rFonts w:eastAsiaTheme="minorEastAsia"/>
                <w:b/>
                <w:color w:val="000000" w:themeColor="text1"/>
                <w:sz w:val="20"/>
                <w:lang w:val="en-US" w:eastAsia="zh-CN"/>
                <w14:textFill>
                  <w14:solidFill>
                    <w14:schemeClr w14:val="tx1"/>
                  </w14:solidFill>
                </w14:textFill>
              </w:rPr>
              <w:t>3</w:t>
            </w:r>
            <w:r>
              <w:rPr>
                <w:rFonts w:hint="eastAsia"/>
                <w:b/>
                <w:color w:val="000000" w:themeColor="text1"/>
                <w:sz w:val="20"/>
                <w:lang w:val="en-US" w:eastAsia="zh-CN"/>
                <w14:textFill>
                  <w14:solidFill>
                    <w14:schemeClr w14:val="tx1"/>
                  </w14:solidFill>
                </w14:textFill>
              </w:rPr>
              <w:t xml:space="preserve"> </w:t>
            </w:r>
          </w:p>
        </w:tc>
        <w:tc>
          <w:tcPr>
            <w:tcW w:w="1074" w:type="dxa"/>
          </w:tcPr>
          <w:p w14:paraId="591EBD9A">
            <w:pPr>
              <w:pStyle w:val="26"/>
              <w:jc w:val="center"/>
              <w:rPr>
                <w:rFonts w:ascii="Times New Roman" w:hAnsi="Times New Roman" w:eastAsia="宋体"/>
                <w:i/>
                <w:iCs/>
                <w:sz w:val="21"/>
                <w:szCs w:val="21"/>
                <w:lang w:val="en-US" w:eastAsia="zh-CN"/>
              </w:rPr>
            </w:pPr>
            <w:r>
              <w:rPr>
                <w:rFonts w:cs="Arial"/>
                <w:b/>
                <w:sz w:val="20"/>
              </w:rPr>
              <w:t>SA#</w:t>
            </w:r>
            <w:commentRangeEnd w:id="0"/>
            <w:r>
              <w:rPr>
                <w:rStyle w:val="22"/>
                <w:rFonts w:ascii="Times New Roman" w:hAnsi="Times New Roman"/>
                <w:color w:val="auto"/>
                <w:lang w:eastAsia="en-US"/>
              </w:rPr>
              <w:commentReference w:id="0"/>
            </w:r>
            <w:r>
              <w:rPr>
                <w:rFonts w:cs="Arial"/>
                <w:b/>
                <w:sz w:val="20"/>
              </w:rPr>
              <w:t>11</w:t>
            </w:r>
            <w:r>
              <w:rPr>
                <w:rFonts w:hint="eastAsia" w:cs="Arial" w:eastAsiaTheme="minorEastAsia"/>
                <w:b/>
                <w:sz w:val="20"/>
                <w:lang w:eastAsia="zh-CN"/>
              </w:rPr>
              <w:t>4</w:t>
            </w:r>
            <w:r>
              <w:rPr>
                <w:rFonts w:cs="Arial"/>
                <w:b/>
                <w:sz w:val="20"/>
              </w:rPr>
              <w:t xml:space="preserve"> </w:t>
            </w:r>
          </w:p>
        </w:tc>
        <w:tc>
          <w:tcPr>
            <w:tcW w:w="2186" w:type="dxa"/>
          </w:tcPr>
          <w:p w14:paraId="591EBD9B">
            <w:pPr>
              <w:pStyle w:val="26"/>
              <w:jc w:val="center"/>
              <w:rPr>
                <w:rFonts w:ascii="Times New Roman" w:hAnsi="Times New Roman"/>
                <w:i/>
                <w:iCs/>
                <w:sz w:val="21"/>
                <w:szCs w:val="21"/>
              </w:rPr>
            </w:pPr>
          </w:p>
        </w:tc>
      </w:tr>
    </w:tbl>
    <w:p w14:paraId="591EBD9D">
      <w:pPr>
        <w:pStyle w:val="27"/>
      </w:pPr>
    </w:p>
    <w:p w14:paraId="591EBD9E"/>
    <w:tbl>
      <w:tblPr>
        <w:tblStyle w:val="19"/>
        <w:tblW w:w="0" w:type="auto"/>
        <w:jc w:val="center"/>
        <w:tblLayout w:type="fixed"/>
        <w:tblCellMar>
          <w:top w:w="0" w:type="dxa"/>
          <w:left w:w="108" w:type="dxa"/>
          <w:bottom w:w="0" w:type="dxa"/>
          <w:right w:w="108" w:type="dxa"/>
        </w:tblCellMar>
      </w:tblPr>
      <w:tblGrid>
        <w:gridCol w:w="1445"/>
        <w:gridCol w:w="4344"/>
        <w:gridCol w:w="1417"/>
        <w:gridCol w:w="2101"/>
      </w:tblGrid>
      <w:tr w14:paraId="591EBDA0">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591EBD9F">
            <w:pPr>
              <w:pStyle w:val="24"/>
            </w:pPr>
            <w:r>
              <w:t>Impacted existing TS/TR {One line per specification. Create/delete lines as needed}</w:t>
            </w:r>
          </w:p>
        </w:tc>
      </w:tr>
      <w:tr w14:paraId="591EBDA5">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591EBDA1">
            <w:pPr>
              <w:pStyle w:val="24"/>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591EBDA2">
            <w:pPr>
              <w:pStyle w:val="24"/>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591EBDA3">
            <w:pPr>
              <w:pStyle w:val="24"/>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591EBDA4">
            <w:pPr>
              <w:pStyle w:val="24"/>
            </w:pPr>
            <w:r>
              <w:t>Remarks</w:t>
            </w:r>
          </w:p>
        </w:tc>
      </w:tr>
      <w:tr w14:paraId="591EBDAA">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591EBDA6">
            <w:pPr>
              <w:pStyle w:val="26"/>
            </w:pPr>
            <w:r>
              <w:t>TR 26.956</w:t>
            </w:r>
          </w:p>
        </w:tc>
        <w:tc>
          <w:tcPr>
            <w:tcW w:w="4344" w:type="dxa"/>
            <w:tcBorders>
              <w:top w:val="single" w:color="auto" w:sz="4" w:space="0"/>
              <w:left w:val="single" w:color="auto" w:sz="4" w:space="0"/>
              <w:bottom w:val="single" w:color="auto" w:sz="4" w:space="0"/>
              <w:right w:val="single" w:color="auto" w:sz="4" w:space="0"/>
            </w:tcBorders>
          </w:tcPr>
          <w:p w14:paraId="591EBDA7">
            <w:pPr>
              <w:pStyle w:val="26"/>
            </w:pPr>
            <w:r>
              <w:t>Complement the already published Beyond2D report with more scenarios/use cases, additional test results, additional metrics, …</w:t>
            </w:r>
          </w:p>
        </w:tc>
        <w:tc>
          <w:tcPr>
            <w:tcW w:w="1417" w:type="dxa"/>
            <w:tcBorders>
              <w:top w:val="single" w:color="auto" w:sz="4" w:space="0"/>
              <w:left w:val="single" w:color="auto" w:sz="4" w:space="0"/>
              <w:bottom w:val="single" w:color="auto" w:sz="4" w:space="0"/>
              <w:right w:val="single" w:color="auto" w:sz="4" w:space="0"/>
            </w:tcBorders>
          </w:tcPr>
          <w:p w14:paraId="591EBDA8">
            <w:pPr>
              <w:pStyle w:val="26"/>
            </w:pPr>
          </w:p>
        </w:tc>
        <w:tc>
          <w:tcPr>
            <w:tcW w:w="2101" w:type="dxa"/>
            <w:tcBorders>
              <w:top w:val="single" w:color="auto" w:sz="4" w:space="0"/>
              <w:left w:val="single" w:color="auto" w:sz="4" w:space="0"/>
              <w:bottom w:val="single" w:color="auto" w:sz="4" w:space="0"/>
              <w:right w:val="single" w:color="auto" w:sz="4" w:space="0"/>
            </w:tcBorders>
          </w:tcPr>
          <w:p w14:paraId="591EBDA9">
            <w:pPr>
              <w:pStyle w:val="26"/>
            </w:pPr>
          </w:p>
        </w:tc>
      </w:tr>
    </w:tbl>
    <w:p w14:paraId="591EBDAB"/>
    <w:p w14:paraId="591EBDA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591EBDAD">
      <w:pPr>
        <w:rPr>
          <w:i/>
          <w:lang w:val="en-US"/>
        </w:rPr>
      </w:pPr>
      <w:r>
        <w:rPr>
          <w:rFonts w:hint="eastAsia" w:eastAsia="宋体"/>
          <w:i/>
          <w:lang w:val="en-US" w:eastAsia="zh-CN"/>
        </w:rPr>
        <w:t>Jiayi Xu</w:t>
      </w:r>
      <w:r>
        <w:rPr>
          <w:i/>
          <w:lang w:val="en-US"/>
        </w:rPr>
        <w:t xml:space="preserve">, </w:t>
      </w:r>
      <w:r>
        <w:fldChar w:fldCharType="begin"/>
      </w:r>
      <w:r>
        <w:instrText xml:space="preserve"> HYPERLINK "mailto:xujiayi@chinamobile.com" </w:instrText>
      </w:r>
      <w:r>
        <w:fldChar w:fldCharType="separate"/>
      </w:r>
      <w:r>
        <w:rPr>
          <w:rStyle w:val="21"/>
          <w:rFonts w:hint="eastAsia" w:eastAsia="宋体"/>
          <w:i/>
          <w:lang w:val="en-US" w:eastAsia="zh-CN"/>
        </w:rPr>
        <w:t>xujiayi</w:t>
      </w:r>
      <w:r>
        <w:rPr>
          <w:rStyle w:val="21"/>
          <w:i/>
          <w:lang w:val="en-US"/>
        </w:rPr>
        <w:t>@</w:t>
      </w:r>
      <w:r>
        <w:rPr>
          <w:rStyle w:val="21"/>
          <w:rFonts w:hint="eastAsia" w:eastAsia="宋体"/>
          <w:i/>
          <w:lang w:val="en-US" w:eastAsia="zh-CN"/>
        </w:rPr>
        <w:t>chinamobile</w:t>
      </w:r>
      <w:r>
        <w:rPr>
          <w:rStyle w:val="21"/>
          <w:i/>
          <w:lang w:val="en-US"/>
        </w:rPr>
        <w:t>.com</w:t>
      </w:r>
      <w:r>
        <w:rPr>
          <w:rStyle w:val="21"/>
          <w:i/>
          <w:lang w:val="en-US"/>
        </w:rPr>
        <w:fldChar w:fldCharType="end"/>
      </w:r>
    </w:p>
    <w:p w14:paraId="591EBDAE"/>
    <w:p w14:paraId="591EBDA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591EBDB0">
      <w:r>
        <w:t>SA4</w:t>
      </w:r>
    </w:p>
    <w:p w14:paraId="591EBDB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91EBDB2">
      <w:pPr>
        <w:rPr>
          <w:sz w:val="36"/>
          <w:lang w:eastAsia="ja-JP"/>
        </w:rPr>
      </w:pPr>
      <w:r>
        <w:rPr>
          <w:rFonts w:hint="eastAsia"/>
          <w:lang w:eastAsia="ja-JP"/>
        </w:rPr>
        <w:t>None identified.</w:t>
      </w:r>
    </w:p>
    <w:p w14:paraId="591EBDB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591EB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91EBDB4">
            <w:pPr>
              <w:pStyle w:val="24"/>
            </w:pPr>
            <w:r>
              <w:t>Supporting IM name</w:t>
            </w:r>
          </w:p>
        </w:tc>
      </w:tr>
      <w:tr w14:paraId="591E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1EBDB6">
            <w:pPr>
              <w:pStyle w:val="26"/>
            </w:pPr>
            <w:r>
              <w:rPr>
                <w:rFonts w:hint="eastAsia"/>
              </w:rPr>
              <w:t>China Mobile Com. Corporation</w:t>
            </w:r>
          </w:p>
        </w:tc>
      </w:tr>
      <w:tr w14:paraId="591EB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1EBDB8">
            <w:pPr>
              <w:pStyle w:val="26"/>
              <w:rPr>
                <w:rFonts w:eastAsiaTheme="minorEastAsia"/>
                <w:lang w:val="en-US" w:eastAsia="zh-CN"/>
              </w:rPr>
            </w:pPr>
            <w:r>
              <w:rPr>
                <w:rFonts w:hint="eastAsia" w:eastAsiaTheme="minorEastAsia"/>
                <w:lang w:val="en-US" w:eastAsia="zh-CN"/>
              </w:rPr>
              <w:t xml:space="preserve">InterDigital </w:t>
            </w:r>
            <w:r>
              <w:rPr>
                <w:rFonts w:eastAsiaTheme="minorEastAsia"/>
                <w:lang w:val="en-US" w:eastAsia="zh-CN"/>
              </w:rPr>
              <w:t>Communication</w:t>
            </w:r>
          </w:p>
        </w:tc>
      </w:tr>
      <w:tr w14:paraId="591EB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1EBDBA">
            <w:pPr>
              <w:pStyle w:val="26"/>
              <w:rPr>
                <w:rFonts w:eastAsia="宋体"/>
                <w:lang w:val="en-US" w:eastAsia="zh-CN"/>
              </w:rPr>
            </w:pPr>
            <w:r>
              <w:rPr>
                <w:rFonts w:hint="eastAsia" w:eastAsia="宋体"/>
                <w:lang w:val="en-US" w:eastAsia="zh-CN"/>
              </w:rPr>
              <w:t>Pengcheng Laboratory</w:t>
            </w:r>
          </w:p>
        </w:tc>
      </w:tr>
      <w:tr w14:paraId="591E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1EBDBC">
            <w:pPr>
              <w:pStyle w:val="26"/>
              <w:rPr>
                <w:rFonts w:eastAsiaTheme="minorEastAsia"/>
                <w:lang w:eastAsia="zh-CN"/>
              </w:rPr>
            </w:pPr>
            <w:r>
              <w:rPr>
                <w:rFonts w:hint="eastAsia" w:eastAsiaTheme="minorEastAsia"/>
                <w:lang w:val="en-US" w:eastAsia="zh-CN"/>
              </w:rPr>
              <w:t>LG</w:t>
            </w:r>
            <w:r>
              <w:rPr>
                <w:rFonts w:eastAsiaTheme="minorEastAsia"/>
                <w:lang w:val="en-US" w:eastAsia="zh-CN"/>
              </w:rPr>
              <w:t xml:space="preserve"> Electronics</w:t>
            </w:r>
            <w:r>
              <w:rPr>
                <w:rFonts w:hint="eastAsia" w:eastAsiaTheme="minorEastAsia"/>
                <w:lang w:val="en-US" w:eastAsia="zh-CN"/>
              </w:rPr>
              <w:t xml:space="preserve"> Inc</w:t>
            </w:r>
          </w:p>
        </w:tc>
      </w:tr>
      <w:tr w14:paraId="591EB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1EBDBE">
            <w:pPr>
              <w:pStyle w:val="26"/>
              <w:rPr>
                <w:rFonts w:eastAsiaTheme="minorEastAsia"/>
                <w:lang w:val="en-US" w:eastAsia="zh-CN"/>
              </w:rPr>
            </w:pPr>
            <w:r>
              <w:rPr>
                <w:rFonts w:hint="eastAsia" w:eastAsiaTheme="minorEastAsia"/>
                <w:lang w:val="en-US" w:eastAsia="zh-CN"/>
              </w:rPr>
              <w:t>CATT</w:t>
            </w:r>
          </w:p>
        </w:tc>
      </w:tr>
      <w:tr w14:paraId="591EB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1EBDC0">
            <w:pPr>
              <w:pStyle w:val="26"/>
              <w:rPr>
                <w:rFonts w:eastAsiaTheme="minorEastAsia"/>
                <w:lang w:val="en-US" w:eastAsia="zh-CN"/>
              </w:rPr>
            </w:pPr>
            <w:r>
              <w:rPr>
                <w:rFonts w:hint="eastAsia" w:eastAsiaTheme="minorEastAsia"/>
                <w:lang w:eastAsia="zh-CN"/>
              </w:rPr>
              <w:t>Deutsche Telekom</w:t>
            </w:r>
          </w:p>
        </w:tc>
      </w:tr>
      <w:tr w14:paraId="591E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1EBDC2">
            <w:pPr>
              <w:pStyle w:val="26"/>
              <w:rPr>
                <w:rFonts w:eastAsiaTheme="minorEastAsia"/>
                <w:lang w:val="en-US" w:eastAsia="zh-CN"/>
              </w:rPr>
            </w:pPr>
            <w:r>
              <w:rPr>
                <w:rFonts w:hint="eastAsia" w:eastAsiaTheme="minorEastAsia"/>
                <w:lang w:val="en-US" w:eastAsia="zh-CN"/>
              </w:rPr>
              <w:t>ZTE</w:t>
            </w:r>
          </w:p>
        </w:tc>
      </w:tr>
      <w:tr w14:paraId="591EB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1EBDC4">
            <w:pPr>
              <w:pStyle w:val="26"/>
              <w:rPr>
                <w:rFonts w:eastAsiaTheme="minorEastAsia"/>
                <w:lang w:val="en-US" w:eastAsia="zh-CN"/>
              </w:rPr>
            </w:pPr>
            <w:r>
              <w:rPr>
                <w:rFonts w:hint="eastAsia" w:eastAsiaTheme="minorEastAsia"/>
                <w:lang w:val="en-US" w:eastAsia="zh-CN"/>
              </w:rPr>
              <w:t>Nokia</w:t>
            </w:r>
          </w:p>
        </w:tc>
      </w:tr>
      <w:tr w14:paraId="591E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1EBDC6">
            <w:pPr>
              <w:pStyle w:val="26"/>
              <w:rPr>
                <w:rFonts w:eastAsiaTheme="minorEastAsia"/>
                <w:lang w:eastAsia="zh-CN"/>
              </w:rPr>
            </w:pPr>
            <w:r>
              <w:rPr>
                <w:rFonts w:hint="eastAsia" w:eastAsiaTheme="minorEastAsia"/>
                <w:lang w:eastAsia="zh-CN"/>
              </w:rPr>
              <w:t>Samsung</w:t>
            </w:r>
          </w:p>
        </w:tc>
      </w:tr>
      <w:tr w14:paraId="591E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1EBDC8">
            <w:pPr>
              <w:pStyle w:val="26"/>
              <w:rPr>
                <w:rFonts w:eastAsiaTheme="minorEastAsia"/>
                <w:lang w:val="en-US" w:eastAsia="zh-CN"/>
              </w:rPr>
            </w:pPr>
            <w:r>
              <w:rPr>
                <w:rFonts w:hint="eastAsia" w:eastAsiaTheme="minorEastAsia"/>
                <w:lang w:val="en-US" w:eastAsia="zh-CN"/>
              </w:rPr>
              <w:t>KDDI</w:t>
            </w:r>
          </w:p>
        </w:tc>
      </w:tr>
      <w:tr w14:paraId="591EB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1EBDCA">
            <w:pPr>
              <w:pStyle w:val="26"/>
              <w:rPr>
                <w:rFonts w:eastAsiaTheme="minorEastAsia"/>
                <w:lang w:eastAsia="zh-CN"/>
              </w:rPr>
            </w:pPr>
            <w:r>
              <w:rPr>
                <w:rFonts w:eastAsiaTheme="minorEastAsia"/>
                <w:lang w:eastAsia="zh-CN"/>
              </w:rPr>
              <w:t>Sony Group Corporation</w:t>
            </w:r>
          </w:p>
        </w:tc>
      </w:tr>
      <w:tr w14:paraId="591EB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1EBDCC">
            <w:pPr>
              <w:pStyle w:val="26"/>
            </w:pPr>
          </w:p>
        </w:tc>
      </w:tr>
    </w:tbl>
    <w:p w14:paraId="591EBDCE"/>
    <w:p w14:paraId="591EBDCF"/>
    <w:p w14:paraId="591EBDD0"/>
    <w:bookmarkEnd w:id="22"/>
    <w:sectPr>
      <w:pgSz w:w="11906" w:h="16838"/>
      <w:pgMar w:top="567" w:right="1134" w:bottom="709" w:left="1134" w:header="720" w:footer="72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lf Schaefer" w:date="2025-12-19T10:29:00Z" w:initials="">
    <w:p w14:paraId="591EBDD3">
      <w:pPr>
        <w:pStyle w:val="10"/>
      </w:pPr>
      <w:r>
        <w:rPr>
          <w:lang w:val="de-DE"/>
        </w:rPr>
        <w:t>This is the earliest date, it will depend when the study can start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1EBDD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Sans Serif">
    <w:panose1 w:val="020B0604020202020204"/>
    <w:charset w:val="00"/>
    <w:family w:val="auto"/>
    <w:pitch w:val="default"/>
    <w:sig w:usb0="E5002EFF" w:usb1="C000605B" w:usb2="00000029" w:usb3="00000000" w:csb0="200101FF" w:csb1="20280000"/>
  </w:font>
  <w:font w:name="Angsana New">
    <w:altName w:val="LaTeX"/>
    <w:panose1 w:val="00000000000000000000"/>
    <w:charset w:val="00"/>
    <w:family w:val="auto"/>
    <w:pitch w:val="default"/>
    <w:sig w:usb0="00000000" w:usb1="00000000" w:usb2="00000000" w:usb3="00000000" w:csb0="00000000" w:csb1="00000000"/>
  </w:font>
  <w:font w:name="LaTeX">
    <w:panose1 w:val="02000600020000020004"/>
    <w:charset w:val="00"/>
    <w:family w:val="auto"/>
    <w:pitch w:val="default"/>
    <w:sig w:usb0="000000A3" w:usb1="0000004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FFFFFF80"/>
    <w:multiLevelType w:val="singleLevel"/>
    <w:tmpl w:val="FFFFFF80"/>
    <w:lvl w:ilvl="0" w:tentative="0">
      <w:start w:val="1"/>
      <w:numFmt w:val="bullet"/>
      <w:pStyle w:val="13"/>
      <w:lvlText w:val=""/>
      <w:lvlJc w:val="left"/>
      <w:pPr>
        <w:tabs>
          <w:tab w:val="left" w:pos="2040"/>
        </w:tabs>
        <w:ind w:left="2040" w:leftChars="800" w:hanging="360" w:hangingChars="200"/>
      </w:pPr>
      <w:rPr>
        <w:rFonts w:hint="default" w:ascii="Wingdings" w:hAnsi="Wingdings"/>
      </w:rPr>
    </w:lvl>
  </w:abstractNum>
  <w:abstractNum w:abstractNumId="2">
    <w:nsid w:val="6EF62293"/>
    <w:multiLevelType w:val="multilevel"/>
    <w:tmpl w:val="6EF62293"/>
    <w:lvl w:ilvl="0" w:tentative="0">
      <w:start w:val="1"/>
      <w:numFmt w:val="decimal"/>
      <w:lvlText w:val="%1)"/>
      <w:lvlJc w:val="left"/>
      <w:pPr>
        <w:ind w:left="1008" w:hanging="440"/>
      </w:pPr>
    </w:lvl>
    <w:lvl w:ilvl="1" w:tentative="0">
      <w:start w:val="1"/>
      <w:numFmt w:val="lowerLetter"/>
      <w:lvlText w:val="%2)"/>
      <w:lvlJc w:val="left"/>
      <w:pPr>
        <w:ind w:left="1448" w:hanging="440"/>
      </w:pPr>
    </w:lvl>
    <w:lvl w:ilvl="2" w:tentative="0">
      <w:start w:val="1"/>
      <w:numFmt w:val="lowerRoman"/>
      <w:lvlText w:val="%3."/>
      <w:lvlJc w:val="right"/>
      <w:pPr>
        <w:ind w:left="1888" w:hanging="440"/>
      </w:pPr>
    </w:lvl>
    <w:lvl w:ilvl="3" w:tentative="0">
      <w:start w:val="1"/>
      <w:numFmt w:val="decimal"/>
      <w:lvlText w:val="%4."/>
      <w:lvlJc w:val="left"/>
      <w:pPr>
        <w:ind w:left="2328" w:hanging="440"/>
      </w:pPr>
    </w:lvl>
    <w:lvl w:ilvl="4" w:tentative="0">
      <w:start w:val="1"/>
      <w:numFmt w:val="lowerLetter"/>
      <w:lvlText w:val="%5)"/>
      <w:lvlJc w:val="left"/>
      <w:pPr>
        <w:ind w:left="2768" w:hanging="440"/>
      </w:pPr>
    </w:lvl>
    <w:lvl w:ilvl="5" w:tentative="0">
      <w:start w:val="1"/>
      <w:numFmt w:val="lowerRoman"/>
      <w:lvlText w:val="%6."/>
      <w:lvlJc w:val="right"/>
      <w:pPr>
        <w:ind w:left="3208" w:hanging="440"/>
      </w:pPr>
    </w:lvl>
    <w:lvl w:ilvl="6" w:tentative="0">
      <w:start w:val="1"/>
      <w:numFmt w:val="decimal"/>
      <w:lvlText w:val="%7."/>
      <w:lvlJc w:val="left"/>
      <w:pPr>
        <w:ind w:left="3648" w:hanging="440"/>
      </w:pPr>
    </w:lvl>
    <w:lvl w:ilvl="7" w:tentative="0">
      <w:start w:val="1"/>
      <w:numFmt w:val="lowerLetter"/>
      <w:lvlText w:val="%8)"/>
      <w:lvlJc w:val="left"/>
      <w:pPr>
        <w:ind w:left="4088" w:hanging="440"/>
      </w:pPr>
    </w:lvl>
    <w:lvl w:ilvl="8" w:tentative="0">
      <w:start w:val="1"/>
      <w:numFmt w:val="lowerRoman"/>
      <w:lvlText w:val="%9."/>
      <w:lvlJc w:val="right"/>
      <w:pPr>
        <w:ind w:left="4528" w:hanging="44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doNotTrackFormatting/>
  <w:documentProtection w:enforcement="0"/>
  <w:defaultTabStop w:val="420"/>
  <w:hyphenationZone w:val="42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0B0F94"/>
    <w:rsid w:val="000064D8"/>
    <w:rsid w:val="0002123E"/>
    <w:rsid w:val="00023D04"/>
    <w:rsid w:val="00042922"/>
    <w:rsid w:val="0005104E"/>
    <w:rsid w:val="00054EEC"/>
    <w:rsid w:val="00066D0B"/>
    <w:rsid w:val="000700C0"/>
    <w:rsid w:val="00077EF0"/>
    <w:rsid w:val="0008115E"/>
    <w:rsid w:val="00083161"/>
    <w:rsid w:val="00085D26"/>
    <w:rsid w:val="00085D60"/>
    <w:rsid w:val="00090DC1"/>
    <w:rsid w:val="000A1EA4"/>
    <w:rsid w:val="000A2495"/>
    <w:rsid w:val="000B0ADA"/>
    <w:rsid w:val="000B14DB"/>
    <w:rsid w:val="000B1B18"/>
    <w:rsid w:val="000B29C5"/>
    <w:rsid w:val="000C300A"/>
    <w:rsid w:val="000C5EFB"/>
    <w:rsid w:val="000C777B"/>
    <w:rsid w:val="000D6478"/>
    <w:rsid w:val="000D69E2"/>
    <w:rsid w:val="000F3F86"/>
    <w:rsid w:val="0010017B"/>
    <w:rsid w:val="001145BB"/>
    <w:rsid w:val="00124C65"/>
    <w:rsid w:val="001347B2"/>
    <w:rsid w:val="00136686"/>
    <w:rsid w:val="00143415"/>
    <w:rsid w:val="00144EAB"/>
    <w:rsid w:val="00152D11"/>
    <w:rsid w:val="00157DF8"/>
    <w:rsid w:val="001627BF"/>
    <w:rsid w:val="00162EF2"/>
    <w:rsid w:val="00180D66"/>
    <w:rsid w:val="0019275C"/>
    <w:rsid w:val="001B187A"/>
    <w:rsid w:val="001B1A4B"/>
    <w:rsid w:val="001B2484"/>
    <w:rsid w:val="001B6EE2"/>
    <w:rsid w:val="001B7397"/>
    <w:rsid w:val="001D4932"/>
    <w:rsid w:val="001D7A0B"/>
    <w:rsid w:val="001D7BF1"/>
    <w:rsid w:val="001E59B3"/>
    <w:rsid w:val="001E5B9F"/>
    <w:rsid w:val="001F40B2"/>
    <w:rsid w:val="001F4DFA"/>
    <w:rsid w:val="00200005"/>
    <w:rsid w:val="002149FA"/>
    <w:rsid w:val="002159B1"/>
    <w:rsid w:val="00246D71"/>
    <w:rsid w:val="00247156"/>
    <w:rsid w:val="002642EE"/>
    <w:rsid w:val="002706B2"/>
    <w:rsid w:val="002749BE"/>
    <w:rsid w:val="0027756C"/>
    <w:rsid w:val="00277802"/>
    <w:rsid w:val="00287AB7"/>
    <w:rsid w:val="002920DB"/>
    <w:rsid w:val="00293994"/>
    <w:rsid w:val="002C024E"/>
    <w:rsid w:val="002D1279"/>
    <w:rsid w:val="002F3A3B"/>
    <w:rsid w:val="002F4D55"/>
    <w:rsid w:val="003067D6"/>
    <w:rsid w:val="00310AD5"/>
    <w:rsid w:val="00317AC7"/>
    <w:rsid w:val="00320F02"/>
    <w:rsid w:val="00322B5A"/>
    <w:rsid w:val="00323576"/>
    <w:rsid w:val="003247A7"/>
    <w:rsid w:val="0033026A"/>
    <w:rsid w:val="00332959"/>
    <w:rsid w:val="00333444"/>
    <w:rsid w:val="00343D28"/>
    <w:rsid w:val="00364586"/>
    <w:rsid w:val="003807C1"/>
    <w:rsid w:val="00380EDF"/>
    <w:rsid w:val="00382E36"/>
    <w:rsid w:val="00384FF7"/>
    <w:rsid w:val="003915C4"/>
    <w:rsid w:val="00391839"/>
    <w:rsid w:val="0039416A"/>
    <w:rsid w:val="00396CAA"/>
    <w:rsid w:val="003A7FF9"/>
    <w:rsid w:val="003C6469"/>
    <w:rsid w:val="003C6940"/>
    <w:rsid w:val="003E01B7"/>
    <w:rsid w:val="003E0A88"/>
    <w:rsid w:val="003E313E"/>
    <w:rsid w:val="003F614C"/>
    <w:rsid w:val="0040155B"/>
    <w:rsid w:val="00402500"/>
    <w:rsid w:val="00403211"/>
    <w:rsid w:val="004036DF"/>
    <w:rsid w:val="00415419"/>
    <w:rsid w:val="00425385"/>
    <w:rsid w:val="004339A5"/>
    <w:rsid w:val="0043550C"/>
    <w:rsid w:val="00443BF3"/>
    <w:rsid w:val="00462338"/>
    <w:rsid w:val="00463025"/>
    <w:rsid w:val="0048462D"/>
    <w:rsid w:val="004933EB"/>
    <w:rsid w:val="004954E6"/>
    <w:rsid w:val="004A0343"/>
    <w:rsid w:val="004A1EEF"/>
    <w:rsid w:val="004A7CD1"/>
    <w:rsid w:val="004B1471"/>
    <w:rsid w:val="004C2B55"/>
    <w:rsid w:val="004C2E52"/>
    <w:rsid w:val="004C7EA1"/>
    <w:rsid w:val="004D2A11"/>
    <w:rsid w:val="004D6B65"/>
    <w:rsid w:val="004E26BB"/>
    <w:rsid w:val="004E2737"/>
    <w:rsid w:val="004E5469"/>
    <w:rsid w:val="0050463F"/>
    <w:rsid w:val="005066BB"/>
    <w:rsid w:val="00510C27"/>
    <w:rsid w:val="00515A90"/>
    <w:rsid w:val="00515C54"/>
    <w:rsid w:val="00517A00"/>
    <w:rsid w:val="0052199D"/>
    <w:rsid w:val="0052338E"/>
    <w:rsid w:val="005325BC"/>
    <w:rsid w:val="0054520A"/>
    <w:rsid w:val="00553D36"/>
    <w:rsid w:val="005550FF"/>
    <w:rsid w:val="0056382F"/>
    <w:rsid w:val="005645F7"/>
    <w:rsid w:val="00565B68"/>
    <w:rsid w:val="00574CDD"/>
    <w:rsid w:val="00582537"/>
    <w:rsid w:val="0058352C"/>
    <w:rsid w:val="005950AD"/>
    <w:rsid w:val="005A1D90"/>
    <w:rsid w:val="005A2854"/>
    <w:rsid w:val="005B27FB"/>
    <w:rsid w:val="005B7DAA"/>
    <w:rsid w:val="005C3877"/>
    <w:rsid w:val="005C5D16"/>
    <w:rsid w:val="005C6096"/>
    <w:rsid w:val="005D0DB0"/>
    <w:rsid w:val="005D7258"/>
    <w:rsid w:val="005E068B"/>
    <w:rsid w:val="005E1C4A"/>
    <w:rsid w:val="005E4811"/>
    <w:rsid w:val="005E5590"/>
    <w:rsid w:val="00606838"/>
    <w:rsid w:val="006202A9"/>
    <w:rsid w:val="00620B4B"/>
    <w:rsid w:val="00630F13"/>
    <w:rsid w:val="0063474D"/>
    <w:rsid w:val="00634DBA"/>
    <w:rsid w:val="00641219"/>
    <w:rsid w:val="00641E43"/>
    <w:rsid w:val="00646E66"/>
    <w:rsid w:val="00647ECE"/>
    <w:rsid w:val="00655309"/>
    <w:rsid w:val="00657956"/>
    <w:rsid w:val="00657D81"/>
    <w:rsid w:val="00664B5A"/>
    <w:rsid w:val="00665DA3"/>
    <w:rsid w:val="00672BE2"/>
    <w:rsid w:val="00673D4D"/>
    <w:rsid w:val="0068019F"/>
    <w:rsid w:val="0068298C"/>
    <w:rsid w:val="006847F9"/>
    <w:rsid w:val="00692E3F"/>
    <w:rsid w:val="00696434"/>
    <w:rsid w:val="006A587F"/>
    <w:rsid w:val="006A709A"/>
    <w:rsid w:val="006B2D4F"/>
    <w:rsid w:val="006B54E2"/>
    <w:rsid w:val="006C4A06"/>
    <w:rsid w:val="006C4D5C"/>
    <w:rsid w:val="006C5157"/>
    <w:rsid w:val="006D4835"/>
    <w:rsid w:val="006E44CD"/>
    <w:rsid w:val="006E6D4F"/>
    <w:rsid w:val="006F1327"/>
    <w:rsid w:val="006F53DB"/>
    <w:rsid w:val="006F72D5"/>
    <w:rsid w:val="006F7D17"/>
    <w:rsid w:val="007014C4"/>
    <w:rsid w:val="0070505C"/>
    <w:rsid w:val="007078EF"/>
    <w:rsid w:val="00711A5B"/>
    <w:rsid w:val="00713D11"/>
    <w:rsid w:val="0072606F"/>
    <w:rsid w:val="00731685"/>
    <w:rsid w:val="00734EA3"/>
    <w:rsid w:val="007362C3"/>
    <w:rsid w:val="007375BF"/>
    <w:rsid w:val="00742A4D"/>
    <w:rsid w:val="00756A1A"/>
    <w:rsid w:val="007576A6"/>
    <w:rsid w:val="007602E1"/>
    <w:rsid w:val="007614D6"/>
    <w:rsid w:val="007633D2"/>
    <w:rsid w:val="0076617E"/>
    <w:rsid w:val="007705CC"/>
    <w:rsid w:val="0077302D"/>
    <w:rsid w:val="007A5812"/>
    <w:rsid w:val="007B30D5"/>
    <w:rsid w:val="007B3256"/>
    <w:rsid w:val="007C0F5C"/>
    <w:rsid w:val="007C4EFE"/>
    <w:rsid w:val="007C5EE5"/>
    <w:rsid w:val="007C73EB"/>
    <w:rsid w:val="007C7CD8"/>
    <w:rsid w:val="007D316A"/>
    <w:rsid w:val="007D3AA1"/>
    <w:rsid w:val="007D525E"/>
    <w:rsid w:val="007F64AA"/>
    <w:rsid w:val="007F66EC"/>
    <w:rsid w:val="0080233C"/>
    <w:rsid w:val="00802C37"/>
    <w:rsid w:val="00802CC5"/>
    <w:rsid w:val="008034A8"/>
    <w:rsid w:val="00811E2E"/>
    <w:rsid w:val="008145B9"/>
    <w:rsid w:val="008163BE"/>
    <w:rsid w:val="00827103"/>
    <w:rsid w:val="00833FBA"/>
    <w:rsid w:val="0086125D"/>
    <w:rsid w:val="008614C2"/>
    <w:rsid w:val="00866187"/>
    <w:rsid w:val="00873229"/>
    <w:rsid w:val="0088325D"/>
    <w:rsid w:val="00883859"/>
    <w:rsid w:val="00890461"/>
    <w:rsid w:val="008A1FC8"/>
    <w:rsid w:val="008A3B27"/>
    <w:rsid w:val="008A44EA"/>
    <w:rsid w:val="008B4A4F"/>
    <w:rsid w:val="008B61F3"/>
    <w:rsid w:val="008D0B75"/>
    <w:rsid w:val="008D1066"/>
    <w:rsid w:val="008D1225"/>
    <w:rsid w:val="008F7456"/>
    <w:rsid w:val="009010B3"/>
    <w:rsid w:val="009037FC"/>
    <w:rsid w:val="009135A0"/>
    <w:rsid w:val="00916D1C"/>
    <w:rsid w:val="00916EC2"/>
    <w:rsid w:val="00921FA9"/>
    <w:rsid w:val="009221FE"/>
    <w:rsid w:val="00925AED"/>
    <w:rsid w:val="00937606"/>
    <w:rsid w:val="009414E3"/>
    <w:rsid w:val="00947349"/>
    <w:rsid w:val="00953A0E"/>
    <w:rsid w:val="00962035"/>
    <w:rsid w:val="00966288"/>
    <w:rsid w:val="00967EA4"/>
    <w:rsid w:val="00972BC3"/>
    <w:rsid w:val="00974A92"/>
    <w:rsid w:val="00976EAF"/>
    <w:rsid w:val="00982502"/>
    <w:rsid w:val="00990D8D"/>
    <w:rsid w:val="009A36B1"/>
    <w:rsid w:val="009B077D"/>
    <w:rsid w:val="009B1591"/>
    <w:rsid w:val="009C1581"/>
    <w:rsid w:val="009C4D33"/>
    <w:rsid w:val="009C5B0E"/>
    <w:rsid w:val="009D03C6"/>
    <w:rsid w:val="009D36F7"/>
    <w:rsid w:val="009D40F7"/>
    <w:rsid w:val="009E3C62"/>
    <w:rsid w:val="009E4216"/>
    <w:rsid w:val="009F2A76"/>
    <w:rsid w:val="009F541A"/>
    <w:rsid w:val="009F777B"/>
    <w:rsid w:val="00A102F3"/>
    <w:rsid w:val="00A114F4"/>
    <w:rsid w:val="00A11AD5"/>
    <w:rsid w:val="00A11C30"/>
    <w:rsid w:val="00A1507D"/>
    <w:rsid w:val="00A20167"/>
    <w:rsid w:val="00A20915"/>
    <w:rsid w:val="00A21A4F"/>
    <w:rsid w:val="00A24F27"/>
    <w:rsid w:val="00A260E0"/>
    <w:rsid w:val="00A2667B"/>
    <w:rsid w:val="00A314AE"/>
    <w:rsid w:val="00A33A09"/>
    <w:rsid w:val="00A422AB"/>
    <w:rsid w:val="00A5670A"/>
    <w:rsid w:val="00A56C6B"/>
    <w:rsid w:val="00A86899"/>
    <w:rsid w:val="00A913A0"/>
    <w:rsid w:val="00AA1734"/>
    <w:rsid w:val="00AA4B15"/>
    <w:rsid w:val="00AA5F0E"/>
    <w:rsid w:val="00AA727F"/>
    <w:rsid w:val="00AB1AB5"/>
    <w:rsid w:val="00AB6A61"/>
    <w:rsid w:val="00AC26F4"/>
    <w:rsid w:val="00AC400A"/>
    <w:rsid w:val="00AD2DA3"/>
    <w:rsid w:val="00AD3E5D"/>
    <w:rsid w:val="00AE59EA"/>
    <w:rsid w:val="00AF1B8B"/>
    <w:rsid w:val="00AF5785"/>
    <w:rsid w:val="00B0036D"/>
    <w:rsid w:val="00B03A8B"/>
    <w:rsid w:val="00B0476E"/>
    <w:rsid w:val="00B237E5"/>
    <w:rsid w:val="00B24D2A"/>
    <w:rsid w:val="00B472BF"/>
    <w:rsid w:val="00B503B1"/>
    <w:rsid w:val="00B60532"/>
    <w:rsid w:val="00B6599A"/>
    <w:rsid w:val="00B66103"/>
    <w:rsid w:val="00B8294F"/>
    <w:rsid w:val="00B841C0"/>
    <w:rsid w:val="00B8775D"/>
    <w:rsid w:val="00B90D87"/>
    <w:rsid w:val="00B915E7"/>
    <w:rsid w:val="00B91D29"/>
    <w:rsid w:val="00BA0522"/>
    <w:rsid w:val="00BA2B4C"/>
    <w:rsid w:val="00BA5952"/>
    <w:rsid w:val="00BB0AEB"/>
    <w:rsid w:val="00BB7CF0"/>
    <w:rsid w:val="00BC1A05"/>
    <w:rsid w:val="00BC55FA"/>
    <w:rsid w:val="00BC6616"/>
    <w:rsid w:val="00BC6D62"/>
    <w:rsid w:val="00BD01A8"/>
    <w:rsid w:val="00BD2111"/>
    <w:rsid w:val="00BD7A8A"/>
    <w:rsid w:val="00BE2A75"/>
    <w:rsid w:val="00BE4A36"/>
    <w:rsid w:val="00BE7A0C"/>
    <w:rsid w:val="00C070C1"/>
    <w:rsid w:val="00C2041D"/>
    <w:rsid w:val="00C5074C"/>
    <w:rsid w:val="00C53A3E"/>
    <w:rsid w:val="00C60820"/>
    <w:rsid w:val="00C63515"/>
    <w:rsid w:val="00C743D4"/>
    <w:rsid w:val="00C7461F"/>
    <w:rsid w:val="00C820A3"/>
    <w:rsid w:val="00C86B8E"/>
    <w:rsid w:val="00C93313"/>
    <w:rsid w:val="00CA02CF"/>
    <w:rsid w:val="00CA0731"/>
    <w:rsid w:val="00CB2C5A"/>
    <w:rsid w:val="00CC4E61"/>
    <w:rsid w:val="00CD14A3"/>
    <w:rsid w:val="00CE34BB"/>
    <w:rsid w:val="00CE6648"/>
    <w:rsid w:val="00CE6A77"/>
    <w:rsid w:val="00CF0E4E"/>
    <w:rsid w:val="00CF4E96"/>
    <w:rsid w:val="00D00CDE"/>
    <w:rsid w:val="00D0347E"/>
    <w:rsid w:val="00D06FFC"/>
    <w:rsid w:val="00D07220"/>
    <w:rsid w:val="00D07E7E"/>
    <w:rsid w:val="00D11D14"/>
    <w:rsid w:val="00D12379"/>
    <w:rsid w:val="00D14255"/>
    <w:rsid w:val="00D20DDD"/>
    <w:rsid w:val="00D23C19"/>
    <w:rsid w:val="00D24E3B"/>
    <w:rsid w:val="00D25343"/>
    <w:rsid w:val="00D26015"/>
    <w:rsid w:val="00D42AA0"/>
    <w:rsid w:val="00D45CA3"/>
    <w:rsid w:val="00D50AF4"/>
    <w:rsid w:val="00D54CAF"/>
    <w:rsid w:val="00D639BE"/>
    <w:rsid w:val="00D72FB6"/>
    <w:rsid w:val="00D83CE8"/>
    <w:rsid w:val="00D849F3"/>
    <w:rsid w:val="00D85C99"/>
    <w:rsid w:val="00D90D3D"/>
    <w:rsid w:val="00DA4074"/>
    <w:rsid w:val="00DA4EBC"/>
    <w:rsid w:val="00DA56EF"/>
    <w:rsid w:val="00DB1F04"/>
    <w:rsid w:val="00DC545F"/>
    <w:rsid w:val="00DD213D"/>
    <w:rsid w:val="00DE27F3"/>
    <w:rsid w:val="00DF122A"/>
    <w:rsid w:val="00DF4483"/>
    <w:rsid w:val="00DF74B6"/>
    <w:rsid w:val="00E079FA"/>
    <w:rsid w:val="00E1299F"/>
    <w:rsid w:val="00E15EB8"/>
    <w:rsid w:val="00E1744F"/>
    <w:rsid w:val="00E346BB"/>
    <w:rsid w:val="00E45A27"/>
    <w:rsid w:val="00E46990"/>
    <w:rsid w:val="00E52CD6"/>
    <w:rsid w:val="00E55B89"/>
    <w:rsid w:val="00E576AE"/>
    <w:rsid w:val="00E61AC8"/>
    <w:rsid w:val="00E61ECC"/>
    <w:rsid w:val="00E81E07"/>
    <w:rsid w:val="00E91E00"/>
    <w:rsid w:val="00EA07C2"/>
    <w:rsid w:val="00EA1316"/>
    <w:rsid w:val="00EA663B"/>
    <w:rsid w:val="00EB2BDC"/>
    <w:rsid w:val="00EB3CD7"/>
    <w:rsid w:val="00EB449F"/>
    <w:rsid w:val="00EC02AA"/>
    <w:rsid w:val="00EC7E93"/>
    <w:rsid w:val="00ED2EB0"/>
    <w:rsid w:val="00ED58CE"/>
    <w:rsid w:val="00ED627F"/>
    <w:rsid w:val="00ED6784"/>
    <w:rsid w:val="00EE324E"/>
    <w:rsid w:val="00EE59A0"/>
    <w:rsid w:val="00EF1490"/>
    <w:rsid w:val="00EF150F"/>
    <w:rsid w:val="00EF2F4F"/>
    <w:rsid w:val="00EF3183"/>
    <w:rsid w:val="00F146ED"/>
    <w:rsid w:val="00F203BC"/>
    <w:rsid w:val="00F20D6E"/>
    <w:rsid w:val="00F22045"/>
    <w:rsid w:val="00F243D4"/>
    <w:rsid w:val="00F31B44"/>
    <w:rsid w:val="00F324DD"/>
    <w:rsid w:val="00F41C0A"/>
    <w:rsid w:val="00F47420"/>
    <w:rsid w:val="00F4787A"/>
    <w:rsid w:val="00F633F3"/>
    <w:rsid w:val="00F6343C"/>
    <w:rsid w:val="00F702CA"/>
    <w:rsid w:val="00F7340F"/>
    <w:rsid w:val="00F872C2"/>
    <w:rsid w:val="00FA0673"/>
    <w:rsid w:val="00FA0DB4"/>
    <w:rsid w:val="00FA4969"/>
    <w:rsid w:val="00FB4DA4"/>
    <w:rsid w:val="00FD13CE"/>
    <w:rsid w:val="00FF2675"/>
    <w:rsid w:val="00FF39EE"/>
    <w:rsid w:val="00FF52E7"/>
    <w:rsid w:val="012E4947"/>
    <w:rsid w:val="01EF1D67"/>
    <w:rsid w:val="028327AD"/>
    <w:rsid w:val="036D482C"/>
    <w:rsid w:val="03E71A48"/>
    <w:rsid w:val="05091A55"/>
    <w:rsid w:val="059B2850"/>
    <w:rsid w:val="05F15771"/>
    <w:rsid w:val="0615513B"/>
    <w:rsid w:val="069D37D6"/>
    <w:rsid w:val="06C6774D"/>
    <w:rsid w:val="07055096"/>
    <w:rsid w:val="08321030"/>
    <w:rsid w:val="084D36A0"/>
    <w:rsid w:val="08BB5B76"/>
    <w:rsid w:val="09D46386"/>
    <w:rsid w:val="0AD021C3"/>
    <w:rsid w:val="0BA57218"/>
    <w:rsid w:val="0BFF35AC"/>
    <w:rsid w:val="0DE61281"/>
    <w:rsid w:val="0E112789"/>
    <w:rsid w:val="0E2A0612"/>
    <w:rsid w:val="0F4131E5"/>
    <w:rsid w:val="0F94260B"/>
    <w:rsid w:val="0FB2794A"/>
    <w:rsid w:val="131F46D6"/>
    <w:rsid w:val="132826DE"/>
    <w:rsid w:val="18B32543"/>
    <w:rsid w:val="1A3635A4"/>
    <w:rsid w:val="1B952CD5"/>
    <w:rsid w:val="1DBD382A"/>
    <w:rsid w:val="1E223E6D"/>
    <w:rsid w:val="250824EA"/>
    <w:rsid w:val="28D9748A"/>
    <w:rsid w:val="2A932366"/>
    <w:rsid w:val="33CA3D52"/>
    <w:rsid w:val="33CE251B"/>
    <w:rsid w:val="35BF4171"/>
    <w:rsid w:val="367F62FC"/>
    <w:rsid w:val="37163105"/>
    <w:rsid w:val="390B0F94"/>
    <w:rsid w:val="39E34C87"/>
    <w:rsid w:val="3B270F81"/>
    <w:rsid w:val="3BA15C39"/>
    <w:rsid w:val="3BC04884"/>
    <w:rsid w:val="3EE214E4"/>
    <w:rsid w:val="439D55C5"/>
    <w:rsid w:val="43AB6F8C"/>
    <w:rsid w:val="446D31E1"/>
    <w:rsid w:val="455B1F7A"/>
    <w:rsid w:val="4BE438E5"/>
    <w:rsid w:val="4E3E2077"/>
    <w:rsid w:val="4E4B078D"/>
    <w:rsid w:val="4E8C3FC8"/>
    <w:rsid w:val="4E8C5CD4"/>
    <w:rsid w:val="4EBC7631"/>
    <w:rsid w:val="4F7F2E3E"/>
    <w:rsid w:val="507C3E02"/>
    <w:rsid w:val="516873F6"/>
    <w:rsid w:val="54B65679"/>
    <w:rsid w:val="55346239"/>
    <w:rsid w:val="55664FD1"/>
    <w:rsid w:val="574D0C94"/>
    <w:rsid w:val="585908E8"/>
    <w:rsid w:val="58B53D88"/>
    <w:rsid w:val="59292DA4"/>
    <w:rsid w:val="5A8B3B2B"/>
    <w:rsid w:val="5ABA5E25"/>
    <w:rsid w:val="5E743A82"/>
    <w:rsid w:val="5F314665"/>
    <w:rsid w:val="5F4D505B"/>
    <w:rsid w:val="63262750"/>
    <w:rsid w:val="6418240E"/>
    <w:rsid w:val="66FA2DF3"/>
    <w:rsid w:val="688800AD"/>
    <w:rsid w:val="68AB1D4D"/>
    <w:rsid w:val="69A522B4"/>
    <w:rsid w:val="6AC81337"/>
    <w:rsid w:val="6B8A7D1C"/>
    <w:rsid w:val="6B9110F9"/>
    <w:rsid w:val="6C200EE1"/>
    <w:rsid w:val="6CD87B54"/>
    <w:rsid w:val="6DAF05DF"/>
    <w:rsid w:val="6FDA3403"/>
    <w:rsid w:val="6FFA11B3"/>
    <w:rsid w:val="71085DA9"/>
    <w:rsid w:val="71FE20AA"/>
    <w:rsid w:val="75B6354A"/>
    <w:rsid w:val="75FF574D"/>
    <w:rsid w:val="79D71E75"/>
    <w:rsid w:val="7AF6755E"/>
    <w:rsid w:val="7B43200C"/>
    <w:rsid w:val="7C5C79CC"/>
    <w:rsid w:val="7D9010B6"/>
    <w:rsid w:val="7DC245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3"/>
    <w:next w:val="1"/>
    <w:qFormat/>
    <w:uiPriority w:val="0"/>
    <w:pPr>
      <w:outlineLvl w:val="2"/>
    </w:pPr>
  </w:style>
  <w:style w:type="paragraph" w:styleId="5">
    <w:name w:val="heading 4"/>
    <w:basedOn w:val="4"/>
    <w:next w:val="1"/>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1"/>
    <w:next w:val="1"/>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annotation text"/>
    <w:basedOn w:val="1"/>
    <w:link w:val="30"/>
    <w:qFormat/>
    <w:uiPriority w:val="0"/>
  </w:style>
  <w:style w:type="paragraph" w:styleId="11">
    <w:name w:val="List 2"/>
    <w:basedOn w:val="12"/>
    <w:qFormat/>
    <w:uiPriority w:val="0"/>
    <w:pPr>
      <w:ind w:left="851"/>
    </w:pPr>
  </w:style>
  <w:style w:type="paragraph" w:styleId="12">
    <w:name w:val="List"/>
    <w:basedOn w:val="1"/>
    <w:qFormat/>
    <w:uiPriority w:val="0"/>
    <w:pPr>
      <w:ind w:left="568" w:hanging="284"/>
    </w:pPr>
  </w:style>
  <w:style w:type="paragraph" w:styleId="13">
    <w:name w:val="List Bullet 5"/>
    <w:basedOn w:val="1"/>
    <w:qFormat/>
    <w:uiPriority w:val="0"/>
    <w:pPr>
      <w:numPr>
        <w:ilvl w:val="0"/>
        <w:numId w:val="1"/>
      </w:numPr>
      <w:contextualSpacing/>
    </w:pPr>
  </w:style>
  <w:style w:type="paragraph" w:styleId="14">
    <w:name w:val="Balloon Text"/>
    <w:basedOn w:val="1"/>
    <w:link w:val="36"/>
    <w:qFormat/>
    <w:uiPriority w:val="0"/>
    <w:rPr>
      <w:rFonts w:ascii="Segoe UI" w:hAnsi="Segoe UI" w:cs="Segoe UI"/>
      <w:sz w:val="18"/>
      <w:szCs w:val="18"/>
    </w:rPr>
  </w:style>
  <w:style w:type="paragraph" w:styleId="15">
    <w:name w:val="footer"/>
    <w:basedOn w:val="1"/>
    <w:qFormat/>
    <w:uiPriority w:val="0"/>
    <w:pPr>
      <w:tabs>
        <w:tab w:val="center" w:pos="4153"/>
        <w:tab w:val="right" w:pos="8306"/>
      </w:tabs>
      <w:snapToGrid w:val="0"/>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7">
    <w:name w:val="Normal (Web)"/>
    <w:basedOn w:val="1"/>
    <w:qFormat/>
    <w:uiPriority w:val="0"/>
    <w:pPr>
      <w:spacing w:beforeAutospacing="1" w:afterAutospacing="1"/>
    </w:pPr>
    <w:rPr>
      <w:rFonts w:cs="Angsana New"/>
      <w:sz w:val="24"/>
      <w:lang w:val="en-US" w:eastAsia="zh-CN" w:bidi="th-TH"/>
    </w:rPr>
  </w:style>
  <w:style w:type="paragraph" w:styleId="18">
    <w:name w:val="annotation subject"/>
    <w:basedOn w:val="10"/>
    <w:next w:val="10"/>
    <w:link w:val="31"/>
    <w:qFormat/>
    <w:uiPriority w:val="0"/>
    <w:rPr>
      <w:b/>
      <w:bCs/>
    </w:rPr>
  </w:style>
  <w:style w:type="character" w:styleId="21">
    <w:name w:val="Hyperlink"/>
    <w:basedOn w:val="20"/>
    <w:unhideWhenUsed/>
    <w:qFormat/>
    <w:uiPriority w:val="99"/>
    <w:rPr>
      <w:color w:val="0000FF"/>
      <w:u w:val="single"/>
    </w:rPr>
  </w:style>
  <w:style w:type="character" w:styleId="22">
    <w:name w:val="annotation reference"/>
    <w:basedOn w:val="20"/>
    <w:qFormat/>
    <w:uiPriority w:val="0"/>
    <w:rPr>
      <w:sz w:val="16"/>
      <w:szCs w:val="16"/>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FP"/>
    <w:basedOn w:val="1"/>
    <w:qFormat/>
    <w:uiPriority w:val="0"/>
    <w:pPr>
      <w:overflowPunct w:val="0"/>
      <w:autoSpaceDE w:val="0"/>
      <w:autoSpaceDN w:val="0"/>
      <w:adjustRightInd w:val="0"/>
      <w:textAlignment w:val="baseline"/>
    </w:pPr>
    <w:rPr>
      <w:color w:val="000000"/>
      <w:lang w:eastAsia="ja-JP"/>
    </w:rPr>
  </w:style>
  <w:style w:type="paragraph" w:customStyle="1" w:styleId="28">
    <w:name w:val="NO"/>
    <w:basedOn w:val="1"/>
    <w:link w:val="34"/>
    <w:qFormat/>
    <w:uiPriority w:val="0"/>
    <w:pPr>
      <w:keepLines/>
      <w:spacing w:after="180"/>
      <w:ind w:left="1135" w:hanging="851"/>
    </w:pPr>
  </w:style>
  <w:style w:type="paragraph" w:customStyle="1" w:styleId="29">
    <w:name w:val="Überarbeitung1"/>
    <w:hidden/>
    <w:unhideWhenUsed/>
    <w:qFormat/>
    <w:uiPriority w:val="99"/>
    <w:rPr>
      <w:rFonts w:ascii="Times New Roman" w:hAnsi="Times New Roman" w:eastAsia="Times New Roman" w:cs="Times New Roman"/>
      <w:lang w:val="en-GB" w:eastAsia="en-US" w:bidi="ar-SA"/>
    </w:rPr>
  </w:style>
  <w:style w:type="character" w:customStyle="1" w:styleId="30">
    <w:name w:val="Comment Text Char"/>
    <w:basedOn w:val="20"/>
    <w:link w:val="10"/>
    <w:qFormat/>
    <w:uiPriority w:val="0"/>
    <w:rPr>
      <w:rFonts w:eastAsia="Times New Roman"/>
      <w:lang w:val="en-GB"/>
    </w:rPr>
  </w:style>
  <w:style w:type="character" w:customStyle="1" w:styleId="31">
    <w:name w:val="Comment Subject Char"/>
    <w:basedOn w:val="30"/>
    <w:link w:val="18"/>
    <w:qFormat/>
    <w:uiPriority w:val="0"/>
    <w:rPr>
      <w:rFonts w:eastAsia="Times New Roman"/>
      <w:b/>
      <w:bCs/>
      <w:lang w:val="en-GB"/>
    </w:rPr>
  </w:style>
  <w:style w:type="paragraph" w:customStyle="1" w:styleId="32">
    <w:name w:val="B1"/>
    <w:basedOn w:val="1"/>
    <w:link w:val="33"/>
    <w:qFormat/>
    <w:uiPriority w:val="0"/>
    <w:pPr>
      <w:spacing w:after="180"/>
      <w:ind w:left="568" w:hanging="284"/>
    </w:pPr>
  </w:style>
  <w:style w:type="character" w:customStyle="1" w:styleId="33">
    <w:name w:val="B1 Char1"/>
    <w:link w:val="32"/>
    <w:qFormat/>
    <w:uiPriority w:val="0"/>
    <w:rPr>
      <w:rFonts w:eastAsia="Times New Roman"/>
      <w:lang w:val="en-GB"/>
    </w:rPr>
  </w:style>
  <w:style w:type="character" w:customStyle="1" w:styleId="34">
    <w:name w:val="NO Char"/>
    <w:link w:val="28"/>
    <w:qFormat/>
    <w:uiPriority w:val="0"/>
    <w:rPr>
      <w:rFonts w:eastAsia="Times New Roman"/>
      <w:lang w:val="en-GB"/>
    </w:rPr>
  </w:style>
  <w:style w:type="paragraph" w:styleId="35">
    <w:name w:val="List Paragraph"/>
    <w:basedOn w:val="1"/>
    <w:unhideWhenUsed/>
    <w:qFormat/>
    <w:uiPriority w:val="99"/>
    <w:pPr>
      <w:ind w:left="720"/>
      <w:contextualSpacing/>
    </w:pPr>
  </w:style>
  <w:style w:type="character" w:customStyle="1" w:styleId="36">
    <w:name w:val="Balloon Text Char"/>
    <w:basedOn w:val="20"/>
    <w:link w:val="14"/>
    <w:qFormat/>
    <w:uiPriority w:val="0"/>
    <w:rPr>
      <w:rFonts w:ascii="Segoe UI" w:hAnsi="Segoe UI" w:eastAsia="Times New Roman" w:cs="Segoe UI"/>
      <w:sz w:val="18"/>
      <w:szCs w:val="18"/>
      <w:lang w:val="en-GB"/>
    </w:rPr>
  </w:style>
  <w:style w:type="paragraph" w:customStyle="1" w:styleId="37">
    <w:name w:val="Revision1"/>
    <w:hidden/>
    <w:semiHidden/>
    <w:qFormat/>
    <w:uiPriority w:val="99"/>
    <w:rPr>
      <w:rFonts w:ascii="Times New Roman" w:hAnsi="Times New Roman" w:eastAsia="Times New Roman" w:cs="Times New Roman"/>
      <w:lang w:val="en-GB" w:eastAsia="en-US" w:bidi="ar-SA"/>
    </w:rPr>
  </w:style>
  <w:style w:type="paragraph" w:customStyle="1" w:styleId="38">
    <w:name w:val="Révision1"/>
    <w:hidden/>
    <w:unhideWhenUsed/>
    <w:qFormat/>
    <w:uiPriority w:val="99"/>
    <w:rPr>
      <w:rFonts w:ascii="Times New Roman" w:hAnsi="Times New Roman" w:eastAsia="Times New Roman" w:cs="Times New Roman"/>
      <w:lang w:val="en-GB" w:eastAsia="en-US" w:bidi="ar-SA"/>
    </w:rPr>
  </w:style>
  <w:style w:type="paragraph" w:customStyle="1" w:styleId="39">
    <w:name w:val="Revision2"/>
    <w:hidden/>
    <w:unhideWhenUsed/>
    <w:qFormat/>
    <w:uiPriority w:val="99"/>
    <w:rPr>
      <w:rFonts w:ascii="Times New Roman" w:hAnsi="Times New Roman" w:eastAsia="Times New Roman" w:cs="Times New Roman"/>
      <w:lang w:val="en-GB" w:eastAsia="en-US"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character" w:customStyle="1" w:styleId="41">
    <w:name w:val="Unresolved Mention1"/>
    <w:basedOn w:val="20"/>
    <w:semiHidden/>
    <w:unhideWhenUsed/>
    <w:qFormat/>
    <w:uiPriority w:val="99"/>
    <w:rPr>
      <w:color w:val="605E5C"/>
      <w:shd w:val="clear" w:color="auto" w:fill="E1DFDD"/>
    </w:rPr>
  </w:style>
  <w:style w:type="paragraph" w:customStyle="1" w:styleId="42">
    <w:name w:val="B2"/>
    <w:basedOn w:val="11"/>
    <w:qFormat/>
    <w:uiPriority w:val="0"/>
  </w:style>
  <w:style w:type="paragraph" w:customStyle="1" w:styleId="43">
    <w:name w:val="Revision3"/>
    <w:hidden/>
    <w:unhideWhenUsed/>
    <w:qFormat/>
    <w:uiPriority w:val="99"/>
    <w:rPr>
      <w:rFonts w:ascii="Times New Roman" w:hAnsi="Times New Roman" w:eastAsia="Times New Roman" w:cs="Times New Roman"/>
      <w:lang w:val="en-GB" w:eastAsia="en-US" w:bidi="ar-SA"/>
    </w:rPr>
  </w:style>
  <w:style w:type="character" w:customStyle="1" w:styleId="44">
    <w:name w:val="Unresolved Mention2"/>
    <w:basedOn w:val="20"/>
    <w:semiHidden/>
    <w:unhideWhenUsed/>
    <w:qFormat/>
    <w:uiPriority w:val="99"/>
    <w:rPr>
      <w:color w:val="605E5C"/>
      <w:shd w:val="clear" w:color="auto" w:fill="E1DFDD"/>
    </w:rPr>
  </w:style>
  <w:style w:type="paragraph" w:customStyle="1" w:styleId="45">
    <w:name w:val="修订1"/>
    <w:hidden/>
    <w:unhideWhenUsed/>
    <w:qFormat/>
    <w:uiPriority w:val="99"/>
    <w:rPr>
      <w:rFonts w:ascii="Times New Roman" w:hAnsi="Times New Roman" w:eastAsia="Times New Roman" w:cs="Times New Roman"/>
      <w:lang w:val="en-GB" w:eastAsia="en-US" w:bidi="ar-SA"/>
    </w:rPr>
  </w:style>
  <w:style w:type="paragraph" w:customStyle="1" w:styleId="46">
    <w:name w:val="Revision4"/>
    <w:hidden/>
    <w:unhideWhenUsed/>
    <w:qFormat/>
    <w:uiPriority w:val="99"/>
    <w:rPr>
      <w:rFonts w:ascii="Times New Roman" w:hAnsi="Times New Roman" w:eastAsia="Times New Roman" w:cs="Times New Roman"/>
      <w:lang w:val="en-GB" w:eastAsia="en-US" w:bidi="ar-SA"/>
    </w:rPr>
  </w:style>
  <w:style w:type="paragraph" w:customStyle="1" w:styleId="47">
    <w:name w:val="Revision5"/>
    <w:hidden/>
    <w:unhideWhenUsed/>
    <w:qFormat/>
    <w:uiPriority w:val="99"/>
    <w:rPr>
      <w:rFonts w:ascii="Times New Roman" w:hAnsi="Times New Roman" w:eastAsia="Times New Roman" w:cs="Times New Roman"/>
      <w:lang w:val="en-GB" w:eastAsia="en-US" w:bidi="ar-SA"/>
    </w:rPr>
  </w:style>
  <w:style w:type="paragraph" w:customStyle="1" w:styleId="48">
    <w:name w:val="Revision6"/>
    <w:hidden/>
    <w:unhideWhenUsed/>
    <w:qFormat/>
    <w:uiPriority w:val="99"/>
    <w:rPr>
      <w:rFonts w:ascii="Times New Roman" w:hAnsi="Times New Roman" w:eastAsia="Times New Roman" w:cs="Times New Roman"/>
      <w:lang w:val="en-GB" w:eastAsia="en-US" w:bidi="ar-SA"/>
    </w:rPr>
  </w:style>
  <w:style w:type="paragraph" w:customStyle="1" w:styleId="49">
    <w:name w:val="Revision7"/>
    <w:hidden/>
    <w:unhideWhenUsed/>
    <w:uiPriority w:val="99"/>
    <w:rPr>
      <w:rFonts w:ascii="Times New Roman" w:hAnsi="Times New Roman" w:eastAsia="Times New Roman" w:cs="Times New Roman"/>
      <w:lang w:val="en-GB" w:eastAsia="en-US" w:bidi="ar-SA"/>
    </w:rPr>
  </w:style>
  <w:style w:type="character" w:customStyle="1" w:styleId="50">
    <w:name w:val="Unresolved Mention3"/>
    <w:basedOn w:val="20"/>
    <w:semiHidden/>
    <w:unhideWhenUsed/>
    <w:qFormat/>
    <w:uiPriority w:val="99"/>
    <w:rPr>
      <w:color w:val="605E5C"/>
      <w:shd w:val="clear" w:color="auto" w:fill="E1DFDD"/>
    </w:rPr>
  </w:style>
  <w:style w:type="paragraph" w:customStyle="1" w:styleId="51">
    <w:name w:val="Revision"/>
    <w:hidden/>
    <w:unhideWhenUsed/>
    <w:uiPriority w:val="99"/>
    <w:rPr>
      <w:rFonts w:ascii="Times New Roman" w:hAnsi="Times New Roman" w:eastAsia="Times New Roman" w:cs="Times New Roman"/>
      <w:lang w:val="en-GB" w:eastAsia="en-US" w:bidi="ar-SA"/>
    </w:rPr>
  </w:style>
  <w:style w:type="character" w:customStyle="1" w:styleId="52">
    <w:name w:val="Unresolved Mention"/>
    <w:basedOn w:val="2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458de94a72b1845d433e6417b6088712">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5dd8150e5c0cbd34d4a4f2bf3083cb8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CA4AF0-3834-41F9-9E15-E79DA2B53754}">
  <ds:schemaRefs/>
</ds:datastoreItem>
</file>

<file path=customXml/itemProps2.xml><?xml version="1.0" encoding="utf-8"?>
<ds:datastoreItem xmlns:ds="http://schemas.openxmlformats.org/officeDocument/2006/customXml" ds:itemID="{435781FC-0313-4D7B-9C59-E7A95984C4B9}">
  <ds:schemaRefs/>
</ds:datastoreItem>
</file>

<file path=customXml/itemProps3.xml><?xml version="1.0" encoding="utf-8"?>
<ds:datastoreItem xmlns:ds="http://schemas.openxmlformats.org/officeDocument/2006/customXml" ds:itemID="{9C77B222-BA56-4303-B336-E34251B7D69F}">
  <ds:schemaRefs/>
</ds:datastoreItem>
</file>

<file path=customXml/itemProps4.xml><?xml version="1.0" encoding="utf-8"?>
<ds:datastoreItem xmlns:ds="http://schemas.openxmlformats.org/officeDocument/2006/customXml" ds:itemID="{17671833-64F1-4FD1-AE82-7A5A4B1F52B8}">
  <ds:schemaRefs/>
</ds:datastoreItem>
</file>

<file path=docProps/app.xml><?xml version="1.0" encoding="utf-8"?>
<Properties xmlns="http://schemas.openxmlformats.org/officeDocument/2006/extended-properties" xmlns:vt="http://schemas.openxmlformats.org/officeDocument/2006/docPropsVTypes">
  <Template>Normal</Template>
  <Company>研究院</Company>
  <Pages>4</Pages>
  <Words>1224</Words>
  <Characters>7368</Characters>
  <Lines>61</Lines>
  <Paragraphs>17</Paragraphs>
  <TotalTime>1201</TotalTime>
  <ScaleCrop>false</ScaleCrop>
  <LinksUpToDate>false</LinksUpToDate>
  <CharactersWithSpaces>8575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2026-01-27T13:35:00Z</dcterms:created>
  <dc:creator>cmcc</dc:creator>
  <cp:lastModifiedBy>xujiayi-0126</cp:lastModifiedBy>
  <dcterms:modified xsi:type="dcterms:W3CDTF">2026-02-03T11:55:42Z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BA09B7373C974B3D837A388A3141531B_13</vt:lpwstr>
  </property>
  <property fmtid="{D5CDD505-2E9C-101B-9397-08002B2CF9AE}" pid="4" name="ContentTypeId">
    <vt:lpwstr>0x010100E9DF4663B346214AA113078E9EE5D352</vt:lpwstr>
  </property>
  <property fmtid="{D5CDD505-2E9C-101B-9397-08002B2CF9AE}" pid="5" name="MediaServiceImageTags">
    <vt:lpwstr/>
  </property>
  <property fmtid="{D5CDD505-2E9C-101B-9397-08002B2CF9AE}" pid="6" name="MSIP_Label_bcf26ed8-713a-4e6c-8a04-66607341a11c_Enabled">
    <vt:lpwstr>true</vt:lpwstr>
  </property>
  <property fmtid="{D5CDD505-2E9C-101B-9397-08002B2CF9AE}" pid="7" name="MSIP_Label_bcf26ed8-713a-4e6c-8a04-66607341a11c_SetDate">
    <vt:lpwstr>2026-01-02T04:41:34Z</vt:lpwstr>
  </property>
  <property fmtid="{D5CDD505-2E9C-101B-9397-08002B2CF9AE}" pid="8" name="MSIP_Label_bcf26ed8-713a-4e6c-8a04-66607341a11c_Method">
    <vt:lpwstr>Standard</vt:lpwstr>
  </property>
  <property fmtid="{D5CDD505-2E9C-101B-9397-08002B2CF9AE}" pid="9" name="MSIP_Label_bcf26ed8-713a-4e6c-8a04-66607341a11c_Name">
    <vt:lpwstr>Public</vt:lpwstr>
  </property>
  <property fmtid="{D5CDD505-2E9C-101B-9397-08002B2CF9AE}" pid="10" name="MSIP_Label_bcf26ed8-713a-4e6c-8a04-66607341a11c_SiteId">
    <vt:lpwstr>e351b779-f6d5-4e50-8568-80e922d180ae</vt:lpwstr>
  </property>
  <property fmtid="{D5CDD505-2E9C-101B-9397-08002B2CF9AE}" pid="11" name="MSIP_Label_bcf26ed8-713a-4e6c-8a04-66607341a11c_ActionId">
    <vt:lpwstr>ea565d79-bad7-4d6b-934d-0d7ad707f87e</vt:lpwstr>
  </property>
  <property fmtid="{D5CDD505-2E9C-101B-9397-08002B2CF9AE}" pid="12" name="MSIP_Label_bcf26ed8-713a-4e6c-8a04-66607341a11c_ContentBits">
    <vt:lpwstr>0</vt:lpwstr>
  </property>
</Properties>
</file>